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E" w:rsidRPr="00407DFE" w:rsidRDefault="00407DFE" w:rsidP="00407DFE">
      <w:pPr>
        <w:tabs>
          <w:tab w:val="left" w:pos="2700"/>
          <w:tab w:val="center" w:pos="4677"/>
        </w:tabs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07DFE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407DFE" w:rsidRPr="00407DFE" w:rsidRDefault="00407DFE" w:rsidP="00407DFE">
      <w:pPr>
        <w:widowControl/>
        <w:tabs>
          <w:tab w:val="center" w:pos="4677"/>
          <w:tab w:val="left" w:pos="6630"/>
          <w:tab w:val="left" w:pos="7068"/>
        </w:tabs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07DFE">
        <w:rPr>
          <w:rFonts w:ascii="Arial" w:hAnsi="Arial" w:cs="Arial"/>
          <w:kern w:val="0"/>
          <w:sz w:val="28"/>
          <w:szCs w:val="28"/>
          <w:lang w:eastAsia="ru-RU"/>
        </w:rPr>
        <w:t>Кемеровская область - Кузбасс</w:t>
      </w:r>
    </w:p>
    <w:p w:rsidR="00407DFE" w:rsidRPr="00407DFE" w:rsidRDefault="00407DFE" w:rsidP="00407DFE">
      <w:pPr>
        <w:widowControl/>
        <w:tabs>
          <w:tab w:val="center" w:pos="4677"/>
          <w:tab w:val="left" w:pos="7464"/>
        </w:tabs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proofErr w:type="spellStart"/>
      <w:r w:rsidRPr="00407DFE">
        <w:rPr>
          <w:rFonts w:ascii="Arial" w:hAnsi="Arial" w:cs="Arial"/>
          <w:kern w:val="0"/>
          <w:sz w:val="28"/>
          <w:szCs w:val="28"/>
          <w:lang w:eastAsia="ru-RU"/>
        </w:rPr>
        <w:t>Юргинский</w:t>
      </w:r>
      <w:proofErr w:type="spellEnd"/>
      <w:r w:rsidRPr="00407DFE">
        <w:rPr>
          <w:rFonts w:ascii="Arial" w:hAnsi="Arial" w:cs="Arial"/>
          <w:kern w:val="0"/>
          <w:sz w:val="28"/>
          <w:szCs w:val="28"/>
          <w:lang w:eastAsia="ru-RU"/>
        </w:rPr>
        <w:t xml:space="preserve"> муниципальный округ</w:t>
      </w:r>
    </w:p>
    <w:p w:rsidR="00407DFE" w:rsidRPr="00407DFE" w:rsidRDefault="00407DFE" w:rsidP="00407DFE">
      <w:pPr>
        <w:widowControl/>
        <w:tabs>
          <w:tab w:val="center" w:pos="4677"/>
          <w:tab w:val="left" w:pos="4956"/>
          <w:tab w:val="left" w:pos="5664"/>
        </w:tabs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407DFE" w:rsidRPr="00407DFE" w:rsidRDefault="00407DFE" w:rsidP="00407DFE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proofErr w:type="gramStart"/>
      <w:r w:rsidRPr="00407DFE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</w:t>
      </w:r>
      <w:proofErr w:type="gramEnd"/>
      <w:r w:rsidRPr="00407DFE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О С Т А Н О В Л Е Н И Е</w:t>
      </w:r>
    </w:p>
    <w:p w:rsidR="00407DFE" w:rsidRPr="00407DFE" w:rsidRDefault="00407DFE" w:rsidP="00407DFE">
      <w:pPr>
        <w:widowControl/>
        <w:tabs>
          <w:tab w:val="left" w:pos="5760"/>
        </w:tabs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p w:rsidR="00407DFE" w:rsidRPr="00407DFE" w:rsidRDefault="00407DFE" w:rsidP="00407DFE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07DFE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407DFE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округа</w:t>
      </w:r>
    </w:p>
    <w:p w:rsidR="00407DFE" w:rsidRPr="00407DFE" w:rsidRDefault="00407DFE" w:rsidP="00407DFE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07DFE" w:rsidRPr="00407DFE" w:rsidTr="00774842">
        <w:trPr>
          <w:trHeight w:val="328"/>
          <w:jc w:val="center"/>
        </w:trPr>
        <w:tc>
          <w:tcPr>
            <w:tcW w:w="784" w:type="dxa"/>
            <w:hideMark/>
          </w:tcPr>
          <w:p w:rsidR="00407DFE" w:rsidRPr="00407DFE" w:rsidRDefault="00407DFE" w:rsidP="00407DFE">
            <w:pPr>
              <w:widowControl/>
              <w:suppressAutoHyphens w:val="0"/>
              <w:ind w:right="-288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07DFE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FE" w:rsidRPr="00407DFE" w:rsidRDefault="003D1D74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1" w:type="dxa"/>
            <w:hideMark/>
          </w:tcPr>
          <w:p w:rsidR="00407DFE" w:rsidRPr="00407DFE" w:rsidRDefault="00407DFE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07DFE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FE" w:rsidRPr="00407DFE" w:rsidRDefault="003D1D74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  <w:hideMark/>
          </w:tcPr>
          <w:p w:rsidR="00407DFE" w:rsidRPr="00407DFE" w:rsidRDefault="00407DFE" w:rsidP="00407DFE">
            <w:pPr>
              <w:widowControl/>
              <w:suppressAutoHyphens w:val="0"/>
              <w:ind w:right="-76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07DFE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FE" w:rsidRPr="00407DFE" w:rsidRDefault="003D1D74" w:rsidP="00407DFE">
            <w:pPr>
              <w:widowControl/>
              <w:suppressAutoHyphens w:val="0"/>
              <w:ind w:right="-152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  <w:hideMark/>
          </w:tcPr>
          <w:p w:rsidR="00407DFE" w:rsidRPr="00407DFE" w:rsidRDefault="00407DFE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407DFE" w:rsidRPr="00407DFE" w:rsidRDefault="00407DFE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407DFE" w:rsidRPr="00407DFE" w:rsidRDefault="00407DFE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07DFE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FE" w:rsidRPr="00407DFE" w:rsidRDefault="003D1D74" w:rsidP="00407DF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4-МНА</w:t>
            </w:r>
          </w:p>
        </w:tc>
      </w:tr>
    </w:tbl>
    <w:p w:rsidR="004F42EC" w:rsidRPr="00407DFE" w:rsidRDefault="004F42EC" w:rsidP="00407DFE">
      <w:pPr>
        <w:jc w:val="center"/>
      </w:pPr>
    </w:p>
    <w:p w:rsidR="00670BD8" w:rsidRPr="00407DFE" w:rsidRDefault="00670BD8" w:rsidP="00407DFE">
      <w:pPr>
        <w:tabs>
          <w:tab w:val="left" w:pos="0"/>
          <w:tab w:val="left" w:pos="9639"/>
        </w:tabs>
        <w:jc w:val="center"/>
      </w:pPr>
    </w:p>
    <w:p w:rsidR="004F42EC" w:rsidRPr="00407DFE" w:rsidRDefault="004F42EC" w:rsidP="00407DFE">
      <w:pPr>
        <w:tabs>
          <w:tab w:val="left" w:pos="0"/>
          <w:tab w:val="left" w:pos="9639"/>
        </w:tabs>
        <w:jc w:val="center"/>
        <w:rPr>
          <w:b/>
        </w:rPr>
      </w:pPr>
      <w:r w:rsidRPr="00407DFE">
        <w:rPr>
          <w:b/>
        </w:rPr>
        <w:t xml:space="preserve">Об отмене отдельных </w:t>
      </w:r>
      <w:r w:rsidR="00037E44" w:rsidRPr="00407DFE">
        <w:rPr>
          <w:b/>
        </w:rPr>
        <w:t xml:space="preserve">муниципальных правовых </w:t>
      </w:r>
      <w:r w:rsidRPr="00407DFE">
        <w:rPr>
          <w:b/>
        </w:rPr>
        <w:t>актов</w:t>
      </w:r>
    </w:p>
    <w:p w:rsidR="004F42EC" w:rsidRPr="00407DFE" w:rsidRDefault="004F42EC" w:rsidP="00407DFE">
      <w:pPr>
        <w:jc w:val="center"/>
        <w:rPr>
          <w:b/>
        </w:rPr>
      </w:pPr>
      <w:r w:rsidRPr="00407DFE">
        <w:rPr>
          <w:b/>
        </w:rPr>
        <w:t xml:space="preserve">администрации Юргинского муниципального </w:t>
      </w:r>
      <w:r w:rsidR="009B5DF7" w:rsidRPr="00407DFE">
        <w:rPr>
          <w:b/>
        </w:rPr>
        <w:t>округа</w:t>
      </w:r>
    </w:p>
    <w:p w:rsidR="00670BD8" w:rsidRPr="00407DFE" w:rsidRDefault="00670BD8" w:rsidP="00407DFE">
      <w:pPr>
        <w:pStyle w:val="1"/>
        <w:jc w:val="center"/>
        <w:rPr>
          <w:sz w:val="24"/>
          <w:szCs w:val="24"/>
        </w:rPr>
      </w:pPr>
    </w:p>
    <w:p w:rsidR="004F42EC" w:rsidRPr="00407DFE" w:rsidRDefault="009B5DF7" w:rsidP="00407DFE">
      <w:pPr>
        <w:pStyle w:val="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07DFE">
        <w:rPr>
          <w:sz w:val="24"/>
          <w:szCs w:val="24"/>
        </w:rPr>
        <w:t xml:space="preserve">Руководствуясь </w:t>
      </w:r>
      <w:r w:rsidR="004F42EC" w:rsidRPr="00407DFE">
        <w:rPr>
          <w:sz w:val="24"/>
          <w:szCs w:val="24"/>
        </w:rPr>
        <w:t>ст. 11 Земельного кодекса Российской Федерации от 25.10.2001</w:t>
      </w:r>
      <w:r w:rsidR="00407DFE">
        <w:rPr>
          <w:sz w:val="24"/>
          <w:szCs w:val="24"/>
        </w:rPr>
        <w:br/>
        <w:t>№</w:t>
      </w:r>
      <w:r w:rsidR="004F42EC" w:rsidRPr="00407DFE">
        <w:rPr>
          <w:sz w:val="24"/>
          <w:szCs w:val="24"/>
        </w:rPr>
        <w:t xml:space="preserve"> 136-ФЗ</w:t>
      </w:r>
      <w:r w:rsidRPr="00407DFE">
        <w:rPr>
          <w:sz w:val="24"/>
          <w:szCs w:val="24"/>
        </w:rPr>
        <w:t>,</w:t>
      </w:r>
      <w:r w:rsidR="004F42EC" w:rsidRPr="00407DFE">
        <w:rPr>
          <w:sz w:val="24"/>
          <w:szCs w:val="24"/>
        </w:rPr>
        <w:t xml:space="preserve"> Уставом Юргинского муниципального </w:t>
      </w:r>
      <w:r w:rsidRPr="00407DFE">
        <w:rPr>
          <w:sz w:val="24"/>
          <w:szCs w:val="24"/>
        </w:rPr>
        <w:t>округа</w:t>
      </w:r>
      <w:r w:rsidR="004F42EC" w:rsidRPr="00407DFE">
        <w:rPr>
          <w:sz w:val="24"/>
          <w:szCs w:val="24"/>
        </w:rPr>
        <w:t>:</w:t>
      </w:r>
    </w:p>
    <w:p w:rsidR="004F42EC" w:rsidRPr="00407DFE" w:rsidRDefault="004F42EC" w:rsidP="00407DFE">
      <w:pPr>
        <w:tabs>
          <w:tab w:val="left" w:pos="993"/>
        </w:tabs>
        <w:ind w:firstLine="709"/>
        <w:jc w:val="both"/>
      </w:pPr>
    </w:p>
    <w:p w:rsidR="00712AF9" w:rsidRPr="00407DFE" w:rsidRDefault="00712AF9" w:rsidP="00407DFE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07DFE">
        <w:t>Отменить следующие муниципальные правовые акты администрации Юргинского муниципального района:</w:t>
      </w:r>
    </w:p>
    <w:p w:rsidR="00712AF9" w:rsidRPr="00407DFE" w:rsidRDefault="004F42EC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 xml:space="preserve">Постановление администрации Юргинского муниципального </w:t>
      </w:r>
      <w:r w:rsidR="00C8130E" w:rsidRPr="00407DFE">
        <w:rPr>
          <w:kern w:val="0"/>
          <w:lang w:eastAsia="ru-RU"/>
        </w:rPr>
        <w:t>района</w:t>
      </w:r>
      <w:r w:rsidRPr="00407DFE">
        <w:rPr>
          <w:kern w:val="0"/>
          <w:lang w:eastAsia="ru-RU"/>
        </w:rPr>
        <w:t xml:space="preserve"> </w:t>
      </w:r>
      <w:r w:rsidR="00772590" w:rsidRPr="00407DFE">
        <w:rPr>
          <w:kern w:val="0"/>
          <w:lang w:eastAsia="ru-RU"/>
        </w:rPr>
        <w:t>от 05.04.2018 №</w:t>
      </w:r>
      <w:r w:rsidR="00407DFE">
        <w:rPr>
          <w:kern w:val="0"/>
          <w:lang w:eastAsia="ru-RU"/>
        </w:rPr>
        <w:t xml:space="preserve"> </w:t>
      </w:r>
      <w:r w:rsidR="00772590" w:rsidRPr="00407DFE">
        <w:rPr>
          <w:kern w:val="0"/>
          <w:lang w:eastAsia="ru-RU"/>
        </w:rPr>
        <w:t>1</w:t>
      </w:r>
      <w:r w:rsidR="00D23631" w:rsidRPr="00407DFE">
        <w:rPr>
          <w:kern w:val="0"/>
          <w:lang w:eastAsia="ru-RU"/>
        </w:rPr>
        <w:t>1</w:t>
      </w:r>
      <w:r w:rsidR="00772590" w:rsidRPr="00407DFE">
        <w:rPr>
          <w:kern w:val="0"/>
          <w:lang w:eastAsia="ru-RU"/>
        </w:rPr>
        <w:t xml:space="preserve">-МНА «Об утверждении административного регламента </w:t>
      </w:r>
      <w:r w:rsidR="00407DFE">
        <w:rPr>
          <w:kern w:val="0"/>
          <w:lang w:eastAsia="ru-RU"/>
        </w:rPr>
        <w:t>К</w:t>
      </w:r>
      <w:r w:rsidR="00772590" w:rsidRPr="00407DFE">
        <w:rPr>
          <w:kern w:val="0"/>
          <w:lang w:eastAsia="ru-RU"/>
        </w:rPr>
        <w:t xml:space="preserve">омитета по управлению муниципальным имуществом Юргинского муниципального района по предоставлению муниципальной услуги «Предоставление земельных участков на территории Юргинского муниципального района, государственная собственность на которые не разграничена, </w:t>
      </w:r>
      <w:r w:rsidR="00712AF9" w:rsidRPr="00407DFE">
        <w:rPr>
          <w:kern w:val="0"/>
          <w:lang w:eastAsia="ru-RU"/>
        </w:rPr>
        <w:t>юридическим лицам и индивидуальным предпринимателям</w:t>
      </w:r>
      <w:r w:rsidR="00772590" w:rsidRPr="00407DFE">
        <w:rPr>
          <w:kern w:val="0"/>
          <w:lang w:eastAsia="ru-RU"/>
        </w:rPr>
        <w:t>»</w:t>
      </w:r>
      <w:r w:rsidR="00712AF9" w:rsidRPr="00407DFE">
        <w:rPr>
          <w:kern w:val="0"/>
          <w:lang w:eastAsia="ru-RU"/>
        </w:rPr>
        <w:t>;</w:t>
      </w:r>
    </w:p>
    <w:p w:rsidR="00712AF9" w:rsidRPr="00407DFE" w:rsidRDefault="00712AF9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>Постановление администрации Юргинского муниципального района от 08.11.2011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31-МНА «О внесении изме</w:t>
      </w:r>
      <w:bookmarkStart w:id="0" w:name="_GoBack"/>
      <w:bookmarkEnd w:id="0"/>
      <w:r w:rsidRPr="00407DFE">
        <w:rPr>
          <w:kern w:val="0"/>
          <w:lang w:eastAsia="ru-RU"/>
        </w:rPr>
        <w:t>нений в постановление администрации Юргинского муниципального района от 13.06.2011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22-МНА «О предоставлении земельных участков для строительства»;</w:t>
      </w:r>
    </w:p>
    <w:p w:rsidR="004F42EC" w:rsidRPr="00407DFE" w:rsidRDefault="00712AF9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>Постановление администрации Юргинского муниципального района от 10.10.2013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74-МНА «Об утверждении Положения о муниципальном земельном контроле на территории Юргинского муниципального района»;</w:t>
      </w:r>
    </w:p>
    <w:p w:rsidR="00712AF9" w:rsidRPr="00407DFE" w:rsidRDefault="000579A1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proofErr w:type="gramStart"/>
      <w:r w:rsidRPr="00407DFE">
        <w:rPr>
          <w:kern w:val="0"/>
          <w:lang w:eastAsia="ru-RU"/>
        </w:rPr>
        <w:t>Постановление администрации Юргинского муниципального района от 16.08.2018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27-МНА «О внесении изменений в постановление администрации Юргинского муниципального района от 05.04.2018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 xml:space="preserve">11-МНА «Об утверждении административного регламента </w:t>
      </w:r>
      <w:r w:rsidR="00407DFE">
        <w:rPr>
          <w:kern w:val="0"/>
          <w:lang w:eastAsia="ru-RU"/>
        </w:rPr>
        <w:t>К</w:t>
      </w:r>
      <w:r w:rsidRPr="00407DFE">
        <w:rPr>
          <w:kern w:val="0"/>
          <w:lang w:eastAsia="ru-RU"/>
        </w:rPr>
        <w:t>омитета по управлению муниципальным имуществом Юргинского муниципального района по предоставлению муниципальной услуги «Предоставление земельных участков на территории Юргинского муниципального района, государственная собственность на которые не разграничена, юридическим лицам и индивидуальным предпринимателям»;</w:t>
      </w:r>
      <w:proofErr w:type="gramEnd"/>
    </w:p>
    <w:p w:rsidR="00637BA7" w:rsidRPr="00407DFE" w:rsidRDefault="000579A1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proofErr w:type="gramStart"/>
      <w:r w:rsidRPr="00407DFE">
        <w:rPr>
          <w:kern w:val="0"/>
          <w:lang w:eastAsia="ru-RU"/>
        </w:rPr>
        <w:t>Постановление администрации Юргинского муниципального района от 16.08.2018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28-МНА «Об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«Выдача разрешения о разрешении размещения объектов, перечень которых утвержден постановлением Правительства Российской Федерации от 03.12.2014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1300 «Об утверждении перечня видов объектов</w:t>
      </w:r>
      <w:r w:rsidR="00637BA7" w:rsidRPr="00407DFE">
        <w:rPr>
          <w:kern w:val="0"/>
          <w:lang w:eastAsia="ru-RU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="00637BA7" w:rsidRPr="00407DFE">
        <w:rPr>
          <w:kern w:val="0"/>
          <w:lang w:eastAsia="ru-RU"/>
        </w:rPr>
        <w:t>, без предоставления земельных участков и установления сервитутов»;</w:t>
      </w:r>
    </w:p>
    <w:p w:rsidR="00637BA7" w:rsidRPr="00407DFE" w:rsidRDefault="00637BA7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lastRenderedPageBreak/>
        <w:t>Постановление администрации Юргинского муниципального района от 20.06.2012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30-МНА «Об утверждении административного регламента по предоставлению муниципальной услуги «Предоставление земельных участков на территории Юргинского муниципального района, государственная собственность на которые не разграничена, физическим лицам»;</w:t>
      </w:r>
    </w:p>
    <w:p w:rsidR="000579A1" w:rsidRPr="00407DFE" w:rsidRDefault="00637BA7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>Постановление администрации Юргинского муниципального района от 20.06.2012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31-МНА «Об утверждении административного регламента по предоставлению муниципальной услуги «Утверждение и выдача схемы расположения земельного участка на кадастровом плане или кадастровой карте соответствующей территории»;</w:t>
      </w:r>
    </w:p>
    <w:p w:rsidR="00637BA7" w:rsidRPr="00407DFE" w:rsidRDefault="00637BA7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>Постановление администрации Юргинского муниципального района от 23.07.2014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20-МНА «О внесении изменений</w:t>
      </w:r>
      <w:r w:rsidR="008B7616" w:rsidRPr="00407DFE">
        <w:rPr>
          <w:kern w:val="0"/>
          <w:lang w:eastAsia="ru-RU"/>
        </w:rPr>
        <w:t xml:space="preserve"> в приложение к постановлению администрации Юргинского муниципального района от 20.06.2012 №</w:t>
      </w:r>
      <w:r w:rsidR="00407DFE">
        <w:rPr>
          <w:kern w:val="0"/>
          <w:lang w:eastAsia="ru-RU"/>
        </w:rPr>
        <w:t xml:space="preserve"> </w:t>
      </w:r>
      <w:r w:rsidR="008B7616" w:rsidRPr="00407DFE">
        <w:rPr>
          <w:kern w:val="0"/>
          <w:lang w:eastAsia="ru-RU"/>
        </w:rPr>
        <w:t>30-МНА «Административный регламент по предоставлению муниципальной услуги «Предоставление земельных участков на территории Юргинского муниципального района, государственная собственность на которые не разграничена, физическим лицам»;</w:t>
      </w:r>
    </w:p>
    <w:p w:rsidR="008B7616" w:rsidRPr="00407DFE" w:rsidRDefault="008B7616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>Постановление администрации Юргинского муниципального района от 26.06.2012 №</w:t>
      </w:r>
      <w:r w:rsidR="00407DFE">
        <w:rPr>
          <w:kern w:val="0"/>
          <w:lang w:eastAsia="ru-RU"/>
        </w:rPr>
        <w:t xml:space="preserve"> </w:t>
      </w:r>
      <w:r w:rsidRPr="00407DFE">
        <w:rPr>
          <w:kern w:val="0"/>
          <w:lang w:eastAsia="ru-RU"/>
        </w:rPr>
        <w:t>36</w:t>
      </w:r>
      <w:r w:rsidR="00407DFE">
        <w:rPr>
          <w:kern w:val="0"/>
          <w:lang w:eastAsia="ru-RU"/>
        </w:rPr>
        <w:t>-</w:t>
      </w:r>
      <w:r w:rsidRPr="00407DFE">
        <w:rPr>
          <w:kern w:val="0"/>
          <w:lang w:eastAsia="ru-RU"/>
        </w:rPr>
        <w:t>МНА «Об утверждении административного регламента по предоставлению муниципальной услуги «Предоставление земельных участков на территории Юргинского муниципального района, государственная собственность на которые не разграничена, юридическим лицам и индивидуальным предпринимателям»;</w:t>
      </w:r>
    </w:p>
    <w:p w:rsidR="008B7616" w:rsidRPr="00407DFE" w:rsidRDefault="008B7616" w:rsidP="00407DFE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kern w:val="0"/>
          <w:lang w:eastAsia="ru-RU"/>
        </w:rPr>
      </w:pPr>
      <w:r w:rsidRPr="00407DFE">
        <w:rPr>
          <w:kern w:val="0"/>
          <w:lang w:eastAsia="ru-RU"/>
        </w:rPr>
        <w:t>Постановление администрации Юргинского муниципального района от 26.12.2016 №84</w:t>
      </w:r>
      <w:r w:rsidR="00407DFE">
        <w:rPr>
          <w:kern w:val="0"/>
          <w:lang w:eastAsia="ru-RU"/>
        </w:rPr>
        <w:t>-</w:t>
      </w:r>
      <w:r w:rsidRPr="00407DFE">
        <w:rPr>
          <w:kern w:val="0"/>
          <w:lang w:eastAsia="ru-RU"/>
        </w:rPr>
        <w:t>МНА «Об утверждении Порядка оформления заданий плановых (рейдовых) осмотров, обследований и порядка оформления результатов плановых (рейдовых) осмотров, обследований объектов земельных отношений на территории Юрг</w:t>
      </w:r>
      <w:r w:rsidR="00252169" w:rsidRPr="00407DFE">
        <w:rPr>
          <w:kern w:val="0"/>
          <w:lang w:eastAsia="ru-RU"/>
        </w:rPr>
        <w:t>инского муниципального района»;</w:t>
      </w:r>
    </w:p>
    <w:p w:rsidR="00252169" w:rsidRPr="00407DFE" w:rsidRDefault="00252169" w:rsidP="00407DF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kern w:val="0"/>
        </w:rPr>
      </w:pPr>
      <w:r w:rsidRPr="00407DFE">
        <w:rPr>
          <w:rFonts w:eastAsia="Calibri"/>
          <w:kern w:val="0"/>
        </w:rPr>
        <w:t xml:space="preserve">Постановление администрации Юргинского муниципального района от 10.04.2012 № 9-МНА «Об утверждении порядка согласования переустройства и (или) </w:t>
      </w:r>
      <w:r w:rsidR="00B33DFB" w:rsidRPr="00407DFE">
        <w:rPr>
          <w:rFonts w:eastAsia="Calibri"/>
          <w:kern w:val="0"/>
        </w:rPr>
        <w:t>перепланировки жилых помещений»;</w:t>
      </w:r>
    </w:p>
    <w:p w:rsidR="00B33DFB" w:rsidRPr="00407DFE" w:rsidRDefault="00B33DFB" w:rsidP="00407DF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kern w:val="0"/>
        </w:rPr>
      </w:pPr>
      <w:r w:rsidRPr="00407DFE">
        <w:rPr>
          <w:rFonts w:eastAsia="Calibri"/>
          <w:kern w:val="0"/>
        </w:rPr>
        <w:t>Постановление администрации Юргинского муниципального района от 27.12.2010 № 48-МНА «Об утверждении административного регламента Администрации Юргинского района по исполнению муниципальной функции «Ведение реестра муниципальной собственности муниципального образования «</w:t>
      </w:r>
      <w:proofErr w:type="spellStart"/>
      <w:r w:rsidRPr="00407DFE">
        <w:rPr>
          <w:rFonts w:eastAsia="Calibri"/>
          <w:kern w:val="0"/>
        </w:rPr>
        <w:t>Юргинский</w:t>
      </w:r>
      <w:proofErr w:type="spellEnd"/>
      <w:r w:rsidRPr="00407DFE">
        <w:rPr>
          <w:rFonts w:eastAsia="Calibri"/>
          <w:kern w:val="0"/>
        </w:rPr>
        <w:t xml:space="preserve"> район»;</w:t>
      </w:r>
    </w:p>
    <w:p w:rsidR="00B33DFB" w:rsidRPr="00407DFE" w:rsidRDefault="00B33DFB" w:rsidP="00407DF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kern w:val="0"/>
        </w:rPr>
      </w:pPr>
      <w:r w:rsidRPr="00407DFE">
        <w:rPr>
          <w:rFonts w:eastAsia="Calibri"/>
          <w:kern w:val="0"/>
        </w:rPr>
        <w:t>Постановление администрации Юргинского муниципального района от 05.09.2013 № 53-МНА «О внесении изменений в постановление Администрации Юргинского района от 27.12.2010 № 48-МНА «Об утверждении административного регламента Администрации Юргинского района по исполнению муниципальной функции «Ведение реестра муниципальной собственности муниципального образования «</w:t>
      </w:r>
      <w:proofErr w:type="spellStart"/>
      <w:r w:rsidRPr="00407DFE">
        <w:rPr>
          <w:rFonts w:eastAsia="Calibri"/>
          <w:kern w:val="0"/>
        </w:rPr>
        <w:t>Юргинский</w:t>
      </w:r>
      <w:proofErr w:type="spellEnd"/>
      <w:r w:rsidRPr="00407DFE">
        <w:rPr>
          <w:rFonts w:eastAsia="Calibri"/>
          <w:kern w:val="0"/>
        </w:rPr>
        <w:t xml:space="preserve"> район».</w:t>
      </w:r>
    </w:p>
    <w:p w:rsidR="004F42EC" w:rsidRPr="00407DFE" w:rsidRDefault="004F42EC" w:rsidP="00407DFE">
      <w:pPr>
        <w:widowControl/>
        <w:tabs>
          <w:tab w:val="left" w:pos="0"/>
          <w:tab w:val="left" w:pos="993"/>
        </w:tabs>
        <w:suppressAutoHyphens w:val="0"/>
        <w:ind w:firstLine="709"/>
        <w:jc w:val="both"/>
      </w:pPr>
    </w:p>
    <w:p w:rsidR="00670BD8" w:rsidRPr="00407DFE" w:rsidRDefault="00301A4E" w:rsidP="00407DF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07DFE">
        <w:t xml:space="preserve">Контроль исполнения постановления возложить на председателя Комитета по </w:t>
      </w:r>
      <w:r w:rsidR="00407DFE">
        <w:t>управлению муниципальным имуществом</w:t>
      </w:r>
      <w:r w:rsidRPr="00407DFE">
        <w:t xml:space="preserve"> Юргинского муниципального </w:t>
      </w:r>
      <w:r w:rsidR="009B5DF7" w:rsidRPr="00407DFE">
        <w:t>округа</w:t>
      </w:r>
      <w:r w:rsidR="00B33DFB" w:rsidRPr="00407DFE">
        <w:t xml:space="preserve"> М.И. </w:t>
      </w:r>
      <w:proofErr w:type="spellStart"/>
      <w:r w:rsidR="00B33DFB" w:rsidRPr="00407DFE">
        <w:t>Шац</w:t>
      </w:r>
      <w:proofErr w:type="spellEnd"/>
      <w:r w:rsidR="00B33DFB" w:rsidRPr="00407DFE">
        <w:t>.</w:t>
      </w:r>
    </w:p>
    <w:p w:rsidR="00670BD8" w:rsidRDefault="00670BD8" w:rsidP="00407DFE">
      <w:pPr>
        <w:tabs>
          <w:tab w:val="left" w:pos="993"/>
        </w:tabs>
        <w:ind w:firstLine="709"/>
        <w:jc w:val="both"/>
      </w:pPr>
    </w:p>
    <w:p w:rsidR="00407DFE" w:rsidRDefault="00407DFE" w:rsidP="00407DFE">
      <w:pPr>
        <w:tabs>
          <w:tab w:val="left" w:pos="993"/>
        </w:tabs>
        <w:ind w:firstLine="709"/>
        <w:jc w:val="both"/>
      </w:pPr>
    </w:p>
    <w:p w:rsidR="00407DFE" w:rsidRPr="00407DFE" w:rsidRDefault="00407DFE" w:rsidP="00407DFE">
      <w:pPr>
        <w:tabs>
          <w:tab w:val="left" w:pos="993"/>
        </w:tabs>
        <w:ind w:firstLine="709"/>
        <w:jc w:val="both"/>
      </w:pPr>
    </w:p>
    <w:p w:rsidR="004F42EC" w:rsidRPr="00407DFE" w:rsidRDefault="004F42EC" w:rsidP="00407DFE">
      <w:pPr>
        <w:tabs>
          <w:tab w:val="left" w:pos="993"/>
        </w:tabs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07DFE" w:rsidRPr="00407DFE" w:rsidTr="00774842">
        <w:tc>
          <w:tcPr>
            <w:tcW w:w="6062" w:type="dxa"/>
            <w:hideMark/>
          </w:tcPr>
          <w:p w:rsidR="00407DFE" w:rsidRPr="00407DFE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000000"/>
                <w:kern w:val="0"/>
                <w:lang w:eastAsia="ru-RU"/>
              </w:rPr>
            </w:pPr>
            <w:r w:rsidRPr="00407DFE">
              <w:rPr>
                <w:color w:val="000000"/>
                <w:kern w:val="0"/>
                <w:lang w:eastAsia="ru-RU"/>
              </w:rPr>
              <w:t>Глава Юргинского</w:t>
            </w:r>
          </w:p>
          <w:p w:rsidR="00407DFE" w:rsidRPr="00407DFE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000000"/>
                <w:kern w:val="0"/>
                <w:lang w:eastAsia="ru-RU"/>
              </w:rPr>
            </w:pPr>
            <w:r w:rsidRPr="00407DFE">
              <w:rPr>
                <w:color w:val="000000"/>
                <w:kern w:val="0"/>
                <w:lang w:eastAsia="ru-RU"/>
              </w:rPr>
              <w:t>муниципального округа</w:t>
            </w:r>
          </w:p>
        </w:tc>
        <w:tc>
          <w:tcPr>
            <w:tcW w:w="3544" w:type="dxa"/>
          </w:tcPr>
          <w:p w:rsidR="00407DFE" w:rsidRPr="00407DFE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000000"/>
                <w:kern w:val="0"/>
                <w:lang w:eastAsia="ru-RU"/>
              </w:rPr>
            </w:pPr>
          </w:p>
          <w:p w:rsidR="00407DFE" w:rsidRPr="00407DFE" w:rsidRDefault="00407DFE" w:rsidP="00407DFE">
            <w:pPr>
              <w:suppressAutoHyphens w:val="0"/>
              <w:ind w:firstLine="709"/>
              <w:jc w:val="both"/>
              <w:rPr>
                <w:color w:val="000000"/>
                <w:kern w:val="0"/>
                <w:lang w:eastAsia="ru-RU"/>
              </w:rPr>
            </w:pPr>
            <w:r w:rsidRPr="00407DFE">
              <w:rPr>
                <w:color w:val="000000"/>
                <w:kern w:val="0"/>
                <w:lang w:eastAsia="ru-RU"/>
              </w:rPr>
              <w:t xml:space="preserve">Д.К. </w:t>
            </w:r>
            <w:proofErr w:type="spellStart"/>
            <w:r w:rsidRPr="00407DFE">
              <w:rPr>
                <w:color w:val="000000"/>
                <w:kern w:val="0"/>
                <w:lang w:eastAsia="ru-RU"/>
              </w:rPr>
              <w:t>Дадашов</w:t>
            </w:r>
            <w:proofErr w:type="spellEnd"/>
          </w:p>
        </w:tc>
      </w:tr>
      <w:tr w:rsidR="00407DFE" w:rsidRPr="00407DFE" w:rsidTr="00774842">
        <w:tc>
          <w:tcPr>
            <w:tcW w:w="6062" w:type="dxa"/>
          </w:tcPr>
          <w:p w:rsidR="00407DFE" w:rsidRPr="003D1D74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lang w:eastAsia="ru-RU"/>
              </w:rPr>
            </w:pPr>
          </w:p>
          <w:p w:rsidR="00407DFE" w:rsidRPr="003D1D74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lang w:eastAsia="ru-RU"/>
              </w:rPr>
            </w:pPr>
            <w:r w:rsidRPr="003D1D74">
              <w:rPr>
                <w:color w:val="FFFFFF" w:themeColor="background1"/>
                <w:kern w:val="0"/>
                <w:lang w:eastAsia="ru-RU"/>
              </w:rPr>
              <w:t>Согласовано:</w:t>
            </w:r>
          </w:p>
          <w:p w:rsidR="00407DFE" w:rsidRPr="003D1D74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lang w:eastAsia="ru-RU"/>
              </w:rPr>
            </w:pPr>
            <w:r w:rsidRPr="003D1D74">
              <w:rPr>
                <w:color w:val="FFFFFF" w:themeColor="background1"/>
                <w:kern w:val="0"/>
                <w:lang w:eastAsia="ru-RU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07DFE" w:rsidRPr="003D1D74" w:rsidRDefault="00407DFE" w:rsidP="00407DFE">
            <w:pPr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lang w:eastAsia="ru-RU"/>
              </w:rPr>
            </w:pPr>
          </w:p>
          <w:p w:rsidR="00407DFE" w:rsidRPr="003D1D74" w:rsidRDefault="00407DFE" w:rsidP="00407DFE">
            <w:pPr>
              <w:suppressAutoHyphens w:val="0"/>
              <w:ind w:firstLine="709"/>
              <w:jc w:val="both"/>
              <w:rPr>
                <w:color w:val="FFFFFF" w:themeColor="background1"/>
                <w:kern w:val="0"/>
                <w:lang w:eastAsia="ru-RU"/>
              </w:rPr>
            </w:pPr>
          </w:p>
          <w:p w:rsidR="00407DFE" w:rsidRPr="003D1D74" w:rsidRDefault="00407DFE" w:rsidP="00407DFE">
            <w:pPr>
              <w:suppressAutoHyphens w:val="0"/>
              <w:ind w:firstLine="709"/>
              <w:jc w:val="both"/>
              <w:rPr>
                <w:color w:val="FFFFFF" w:themeColor="background1"/>
                <w:kern w:val="0"/>
                <w:lang w:eastAsia="ru-RU"/>
              </w:rPr>
            </w:pPr>
            <w:r w:rsidRPr="003D1D74">
              <w:rPr>
                <w:color w:val="FFFFFF" w:themeColor="background1"/>
                <w:kern w:val="0"/>
                <w:lang w:eastAsia="ru-RU"/>
              </w:rPr>
              <w:t xml:space="preserve">Н.А. </w:t>
            </w:r>
            <w:proofErr w:type="spellStart"/>
            <w:r w:rsidRPr="003D1D74">
              <w:rPr>
                <w:color w:val="FFFFFF" w:themeColor="background1"/>
                <w:kern w:val="0"/>
                <w:lang w:eastAsia="ru-RU"/>
              </w:rPr>
              <w:t>Байдракова</w:t>
            </w:r>
            <w:proofErr w:type="spellEnd"/>
          </w:p>
        </w:tc>
      </w:tr>
    </w:tbl>
    <w:p w:rsidR="00B33DFB" w:rsidRPr="00407DFE" w:rsidRDefault="00B33DFB" w:rsidP="00407DFE">
      <w:pPr>
        <w:tabs>
          <w:tab w:val="left" w:pos="993"/>
        </w:tabs>
        <w:ind w:firstLine="709"/>
        <w:jc w:val="both"/>
      </w:pPr>
    </w:p>
    <w:sectPr w:rsidR="00B33DFB" w:rsidRPr="00407DFE" w:rsidSect="000D26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BC1"/>
    <w:multiLevelType w:val="hybridMultilevel"/>
    <w:tmpl w:val="A66AE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4B7932"/>
    <w:multiLevelType w:val="hybridMultilevel"/>
    <w:tmpl w:val="952E7906"/>
    <w:lvl w:ilvl="0" w:tplc="ED022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5519B2"/>
    <w:multiLevelType w:val="hybridMultilevel"/>
    <w:tmpl w:val="DD22E002"/>
    <w:lvl w:ilvl="0" w:tplc="305E04F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EC"/>
    <w:rsid w:val="00037E44"/>
    <w:rsid w:val="000579A1"/>
    <w:rsid w:val="000D26A2"/>
    <w:rsid w:val="001D2918"/>
    <w:rsid w:val="00252169"/>
    <w:rsid w:val="002E1FE0"/>
    <w:rsid w:val="00301A4E"/>
    <w:rsid w:val="003D1D74"/>
    <w:rsid w:val="00407DFE"/>
    <w:rsid w:val="00453CA5"/>
    <w:rsid w:val="00484359"/>
    <w:rsid w:val="004F42EC"/>
    <w:rsid w:val="00531AA9"/>
    <w:rsid w:val="00637BA7"/>
    <w:rsid w:val="00670BD8"/>
    <w:rsid w:val="00712AF9"/>
    <w:rsid w:val="00772590"/>
    <w:rsid w:val="00783F3A"/>
    <w:rsid w:val="007F0718"/>
    <w:rsid w:val="0086160D"/>
    <w:rsid w:val="00874125"/>
    <w:rsid w:val="00880924"/>
    <w:rsid w:val="008B7616"/>
    <w:rsid w:val="009B5DF7"/>
    <w:rsid w:val="00B33DFB"/>
    <w:rsid w:val="00C465D4"/>
    <w:rsid w:val="00C8130E"/>
    <w:rsid w:val="00C81ED6"/>
    <w:rsid w:val="00D23631"/>
    <w:rsid w:val="00E10476"/>
    <w:rsid w:val="00E11BA9"/>
    <w:rsid w:val="00F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4E"/>
    <w:rPr>
      <w:rFonts w:ascii="Tahoma" w:eastAsia="Times New Roman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712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8226-EAD7-401A-8911-B8609A9A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Куприянова Лидия Михайловна</cp:lastModifiedBy>
  <cp:revision>36</cp:revision>
  <cp:lastPrinted>2022-01-24T08:27:00Z</cp:lastPrinted>
  <dcterms:created xsi:type="dcterms:W3CDTF">2018-05-27T08:06:00Z</dcterms:created>
  <dcterms:modified xsi:type="dcterms:W3CDTF">2022-01-24T08:28:00Z</dcterms:modified>
</cp:coreProperties>
</file>