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4A" w:rsidRPr="007C514A" w:rsidRDefault="007C514A" w:rsidP="007C514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7C514A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7C514A" w:rsidRPr="007C514A" w:rsidRDefault="007C514A" w:rsidP="007C514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7C514A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7C514A" w:rsidRPr="007C514A" w:rsidRDefault="007C514A" w:rsidP="007C514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7C514A">
        <w:rPr>
          <w:rFonts w:ascii="Arial" w:hAnsi="Arial" w:cs="Arial"/>
          <w:sz w:val="28"/>
          <w:szCs w:val="28"/>
          <w:lang w:val="ru-RU"/>
        </w:rPr>
        <w:t>Юргинский муниципальный округ</w:t>
      </w:r>
    </w:p>
    <w:p w:rsidR="007C514A" w:rsidRPr="007C514A" w:rsidRDefault="007C514A" w:rsidP="007C514A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  <w:lang w:val="ru-RU"/>
        </w:rPr>
      </w:pPr>
      <w:r w:rsidRPr="007C514A">
        <w:rPr>
          <w:rFonts w:ascii="Arial" w:hAnsi="Arial" w:cs="Arial"/>
          <w:b/>
          <w:sz w:val="32"/>
          <w:szCs w:val="32"/>
          <w:lang w:val="ru-RU"/>
        </w:rPr>
        <w:tab/>
      </w:r>
      <w:r w:rsidRPr="007C514A">
        <w:rPr>
          <w:rFonts w:ascii="Arial" w:hAnsi="Arial" w:cs="Arial"/>
          <w:b/>
          <w:sz w:val="32"/>
          <w:szCs w:val="32"/>
          <w:lang w:val="ru-RU"/>
        </w:rPr>
        <w:tab/>
      </w:r>
      <w:r w:rsidRPr="007C514A">
        <w:rPr>
          <w:rFonts w:ascii="Arial" w:hAnsi="Arial" w:cs="Arial"/>
          <w:b/>
          <w:sz w:val="32"/>
          <w:szCs w:val="32"/>
          <w:lang w:val="ru-RU"/>
        </w:rPr>
        <w:tab/>
      </w:r>
      <w:r w:rsidRPr="007C514A">
        <w:rPr>
          <w:rFonts w:ascii="Arial" w:hAnsi="Arial" w:cs="Arial"/>
          <w:b/>
          <w:sz w:val="32"/>
          <w:szCs w:val="32"/>
          <w:lang w:val="ru-RU"/>
        </w:rPr>
        <w:tab/>
      </w:r>
    </w:p>
    <w:p w:rsidR="007C514A" w:rsidRPr="007C514A" w:rsidRDefault="007C514A" w:rsidP="007C514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7C514A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7C514A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7C514A" w:rsidRPr="007C514A" w:rsidRDefault="007C514A" w:rsidP="007C514A">
      <w:pPr>
        <w:tabs>
          <w:tab w:val="left" w:pos="5760"/>
        </w:tabs>
        <w:rPr>
          <w:rFonts w:ascii="Arial" w:hAnsi="Arial" w:cs="Arial"/>
          <w:sz w:val="26"/>
          <w:lang w:val="ru-RU"/>
        </w:rPr>
      </w:pPr>
      <w:r w:rsidRPr="007C514A">
        <w:rPr>
          <w:rFonts w:ascii="Arial" w:hAnsi="Arial" w:cs="Arial"/>
          <w:sz w:val="26"/>
          <w:lang w:val="ru-RU"/>
        </w:rPr>
        <w:tab/>
      </w:r>
    </w:p>
    <w:p w:rsidR="007C514A" w:rsidRDefault="007C514A" w:rsidP="007C514A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7C514A" w:rsidRDefault="007C514A" w:rsidP="007C514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C514A" w:rsidTr="00903C90">
        <w:trPr>
          <w:trHeight w:val="328"/>
          <w:jc w:val="center"/>
        </w:trPr>
        <w:tc>
          <w:tcPr>
            <w:tcW w:w="784" w:type="dxa"/>
            <w:hideMark/>
          </w:tcPr>
          <w:p w:rsidR="007C514A" w:rsidRDefault="007C514A" w:rsidP="00903C90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514A" w:rsidRPr="000865E5" w:rsidRDefault="000865E5" w:rsidP="00903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361" w:type="dxa"/>
            <w:hideMark/>
          </w:tcPr>
          <w:p w:rsidR="007C514A" w:rsidRDefault="007C514A" w:rsidP="0090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514A" w:rsidRPr="000865E5" w:rsidRDefault="000865E5" w:rsidP="00903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</w:p>
        </w:tc>
        <w:tc>
          <w:tcPr>
            <w:tcW w:w="486" w:type="dxa"/>
            <w:hideMark/>
          </w:tcPr>
          <w:p w:rsidR="007C514A" w:rsidRDefault="007C514A" w:rsidP="00903C9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514A" w:rsidRPr="000865E5" w:rsidRDefault="000865E5" w:rsidP="00903C90">
            <w:pPr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7C514A" w:rsidRPr="000865E5" w:rsidRDefault="007C514A" w:rsidP="00903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7C514A" w:rsidRDefault="007C514A" w:rsidP="00903C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C514A" w:rsidRDefault="007C514A" w:rsidP="0090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514A" w:rsidRPr="00AB3345" w:rsidRDefault="000865E5" w:rsidP="00903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33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53-МНА</w:t>
            </w:r>
          </w:p>
        </w:tc>
      </w:tr>
    </w:tbl>
    <w:p w:rsidR="007C514A" w:rsidRPr="008F29F6" w:rsidRDefault="007C514A" w:rsidP="007C514A">
      <w:pPr>
        <w:rPr>
          <w:b/>
          <w:sz w:val="25"/>
          <w:szCs w:val="25"/>
        </w:rPr>
      </w:pPr>
    </w:p>
    <w:p w:rsidR="001B2F1E" w:rsidRPr="00F13AF0" w:rsidRDefault="001B2F1E" w:rsidP="001B2F1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13AF0">
        <w:rPr>
          <w:rFonts w:ascii="Times New Roman" w:hAnsi="Times New Roman"/>
          <w:b/>
          <w:sz w:val="26"/>
          <w:szCs w:val="26"/>
          <w:lang w:val="ru-RU"/>
        </w:rPr>
        <w:t xml:space="preserve">Об утверждении </w:t>
      </w:r>
      <w:r w:rsidR="005F5125" w:rsidRPr="00F13AF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ru-RU"/>
        </w:rPr>
        <w:t>Программы профилактики рисков причинения вреда (ущерба) охраняемым законом ценностям на 2022 год при осуществлении муниципального жилищного контроля</w:t>
      </w:r>
    </w:p>
    <w:p w:rsidR="001B2F1E" w:rsidRPr="00F13AF0" w:rsidRDefault="001B2F1E" w:rsidP="005F5125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1B2F1E" w:rsidRPr="00F13AF0" w:rsidRDefault="001B2F1E" w:rsidP="001B2F1E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F13AF0">
        <w:rPr>
          <w:rFonts w:ascii="Times New Roman" w:hAnsi="Times New Roman"/>
          <w:sz w:val="26"/>
          <w:szCs w:val="26"/>
          <w:lang w:val="ru-RU"/>
        </w:rPr>
        <w:t xml:space="preserve">           </w:t>
      </w:r>
      <w:proofErr w:type="gramStart"/>
      <w:r w:rsidR="005F5125" w:rsidRPr="00F13AF0">
        <w:rPr>
          <w:rFonts w:ascii="Times New Roman" w:hAnsi="Times New Roman"/>
          <w:sz w:val="26"/>
          <w:szCs w:val="26"/>
          <w:lang w:val="ru-RU" w:bidi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31.07.2020 № 247-ФЗ «Об обязательных требованиях в Российской Федерации» 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F13AF0">
        <w:rPr>
          <w:rFonts w:ascii="Times New Roman" w:hAnsi="Times New Roman" w:cs="Times New Roman"/>
          <w:sz w:val="26"/>
          <w:szCs w:val="26"/>
          <w:lang w:val="ru-RU" w:bidi="ru-RU"/>
        </w:rPr>
        <w:t xml:space="preserve"> </w:t>
      </w:r>
      <w:r w:rsidR="00CB63DE" w:rsidRPr="00F13AF0">
        <w:rPr>
          <w:rFonts w:ascii="Times New Roman" w:hAnsi="Times New Roman" w:cs="Times New Roman"/>
          <w:sz w:val="26"/>
          <w:szCs w:val="26"/>
          <w:lang w:val="ru-RU" w:bidi="ru-RU"/>
        </w:rPr>
        <w:t>Положением о муниципальном</w:t>
      </w:r>
      <w:proofErr w:type="gramEnd"/>
      <w:r w:rsidR="00CB63DE" w:rsidRPr="00F13AF0">
        <w:rPr>
          <w:rFonts w:ascii="Times New Roman" w:hAnsi="Times New Roman" w:cs="Times New Roman"/>
          <w:sz w:val="26"/>
          <w:szCs w:val="26"/>
          <w:lang w:val="ru-RU" w:bidi="ru-RU"/>
        </w:rPr>
        <w:t xml:space="preserve"> жилищном </w:t>
      </w:r>
      <w:proofErr w:type="gramStart"/>
      <w:r w:rsidR="00CB63DE" w:rsidRPr="00F13AF0">
        <w:rPr>
          <w:rFonts w:ascii="Times New Roman" w:hAnsi="Times New Roman" w:cs="Times New Roman"/>
          <w:sz w:val="26"/>
          <w:szCs w:val="26"/>
          <w:lang w:val="ru-RU" w:bidi="ru-RU"/>
        </w:rPr>
        <w:t>контроле</w:t>
      </w:r>
      <w:proofErr w:type="gramEnd"/>
      <w:r w:rsidR="00CB63DE" w:rsidRPr="00F13AF0">
        <w:rPr>
          <w:rFonts w:ascii="Times New Roman" w:hAnsi="Times New Roman" w:cs="Times New Roman"/>
          <w:sz w:val="26"/>
          <w:szCs w:val="26"/>
          <w:lang w:val="ru-RU" w:bidi="ru-RU"/>
        </w:rPr>
        <w:t xml:space="preserve"> в </w:t>
      </w:r>
      <w:r w:rsidR="002311B4" w:rsidRPr="00F13AF0">
        <w:rPr>
          <w:rFonts w:ascii="Times New Roman" w:hAnsi="Times New Roman" w:cs="Times New Roman"/>
          <w:sz w:val="26"/>
          <w:szCs w:val="26"/>
          <w:lang w:val="ru-RU" w:bidi="ru-RU"/>
        </w:rPr>
        <w:t>Юргинском</w:t>
      </w:r>
      <w:r w:rsidR="00CB63DE" w:rsidRPr="00F13AF0">
        <w:rPr>
          <w:rFonts w:ascii="Times New Roman" w:hAnsi="Times New Roman" w:cs="Times New Roman"/>
          <w:sz w:val="26"/>
          <w:szCs w:val="26"/>
          <w:lang w:val="ru-RU" w:bidi="ru-RU"/>
        </w:rPr>
        <w:t xml:space="preserve"> муниципальном округе, утвержденным решением Совета народных депутатов </w:t>
      </w:r>
      <w:r w:rsidR="002311B4" w:rsidRPr="00F13AF0">
        <w:rPr>
          <w:rFonts w:ascii="Times New Roman" w:hAnsi="Times New Roman" w:cs="Times New Roman"/>
          <w:sz w:val="26"/>
          <w:szCs w:val="26"/>
          <w:lang w:val="ru-RU" w:bidi="ru-RU"/>
        </w:rPr>
        <w:t>Юргинского</w:t>
      </w:r>
      <w:r w:rsidR="00CB63DE" w:rsidRPr="00F13AF0">
        <w:rPr>
          <w:rFonts w:ascii="Times New Roman" w:hAnsi="Times New Roman" w:cs="Times New Roman"/>
          <w:sz w:val="26"/>
          <w:szCs w:val="26"/>
          <w:lang w:val="ru-RU" w:bidi="ru-RU"/>
        </w:rPr>
        <w:t xml:space="preserve"> муниципального округа </w:t>
      </w:r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9C0E25">
        <w:rPr>
          <w:rFonts w:ascii="Times New Roman" w:hAnsi="Times New Roman" w:cs="Times New Roman"/>
          <w:sz w:val="26"/>
          <w:szCs w:val="26"/>
          <w:lang w:val="ru-RU"/>
        </w:rPr>
        <w:t>28.10.2021 №</w:t>
      </w:r>
      <w:r w:rsidR="009C0E25" w:rsidRPr="009C0E25">
        <w:rPr>
          <w:rFonts w:ascii="Times New Roman" w:hAnsi="Times New Roman" w:cs="Times New Roman"/>
          <w:color w:val="FFFFFF" w:themeColor="background1"/>
          <w:sz w:val="26"/>
          <w:szCs w:val="26"/>
          <w:lang w:val="ru-RU"/>
        </w:rPr>
        <w:t>.</w:t>
      </w:r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>158-НА</w:t>
      </w:r>
      <w:r w:rsidR="00CB63DE" w:rsidRPr="00F13AF0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F13AF0">
        <w:rPr>
          <w:rFonts w:ascii="Times New Roman" w:hAnsi="Times New Roman"/>
          <w:sz w:val="26"/>
          <w:szCs w:val="26"/>
          <w:lang w:val="ru-RU"/>
        </w:rPr>
        <w:t xml:space="preserve">Уставом </w:t>
      </w:r>
      <w:r w:rsidR="002311B4" w:rsidRPr="00F13AF0">
        <w:rPr>
          <w:rFonts w:ascii="Times New Roman" w:hAnsi="Times New Roman"/>
          <w:sz w:val="26"/>
          <w:szCs w:val="26"/>
          <w:lang w:val="ru-RU"/>
        </w:rPr>
        <w:t>Юргинского</w:t>
      </w:r>
      <w:r w:rsidRPr="00F13AF0">
        <w:rPr>
          <w:rFonts w:ascii="Times New Roman" w:hAnsi="Times New Roman"/>
          <w:sz w:val="26"/>
          <w:szCs w:val="26"/>
          <w:lang w:val="ru-RU"/>
        </w:rPr>
        <w:t xml:space="preserve"> муниципального округа</w:t>
      </w:r>
      <w:r w:rsidR="007C514A" w:rsidRPr="00F13AF0">
        <w:rPr>
          <w:rFonts w:ascii="Times New Roman" w:hAnsi="Times New Roman"/>
          <w:sz w:val="26"/>
          <w:szCs w:val="26"/>
          <w:lang w:val="ru-RU"/>
        </w:rPr>
        <w:t>:</w:t>
      </w:r>
    </w:p>
    <w:p w:rsidR="001B2F1E" w:rsidRPr="00F13AF0" w:rsidRDefault="001B2F1E" w:rsidP="001B2F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/>
          <w:sz w:val="26"/>
          <w:szCs w:val="26"/>
          <w:lang w:val="ru-RU"/>
        </w:rPr>
        <w:t>1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F13A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Утвердить </w:t>
      </w:r>
      <w:r w:rsidR="00CB63DE" w:rsidRPr="00F13AF0">
        <w:rPr>
          <w:rFonts w:ascii="Times New Roman" w:hAnsi="Times New Roman" w:cs="Times New Roman"/>
          <w:sz w:val="26"/>
          <w:szCs w:val="26"/>
          <w:lang w:val="ru-RU"/>
        </w:rPr>
        <w:t>Программу профилактики рисков причинения вреда (ущерба) охраняемым законом ценностям на 2022 год при осуществлении муниципального жилищного контроля</w:t>
      </w:r>
      <w:r w:rsidR="007C514A" w:rsidRPr="00F13AF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CB63DE"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согласно приложению к настоящему постановлению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B2F1E" w:rsidRPr="00F13AF0" w:rsidRDefault="001B2F1E" w:rsidP="001B2F1E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>Опубликовать настоящее постановление в газете «</w:t>
      </w:r>
      <w:proofErr w:type="spellStart"/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>Юргинские</w:t>
      </w:r>
      <w:proofErr w:type="spellEnd"/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ведомости» и разместить в информационно</w:t>
      </w:r>
      <w:r w:rsidR="009505C7"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9D17EE"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телекоммуникационной </w:t>
      </w:r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сети «Интернет» на официальном сайте 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администрации </w:t>
      </w:r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округа.</w:t>
      </w:r>
    </w:p>
    <w:p w:rsidR="001B2F1E" w:rsidRPr="00F13AF0" w:rsidRDefault="009C0E25" w:rsidP="001B2F1E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3.</w:t>
      </w:r>
      <w:r w:rsidRPr="009C0E25">
        <w:rPr>
          <w:rFonts w:ascii="Times New Roman" w:hAnsi="Times New Roman"/>
          <w:color w:val="FFFFFF" w:themeColor="background1"/>
          <w:sz w:val="26"/>
          <w:szCs w:val="26"/>
          <w:lang w:val="ru-RU"/>
        </w:rPr>
        <w:t>.</w:t>
      </w:r>
      <w:r w:rsidR="001B2F1E" w:rsidRPr="00F13AF0">
        <w:rPr>
          <w:rFonts w:ascii="Times New Roman" w:hAnsi="Times New Roman"/>
          <w:sz w:val="26"/>
          <w:szCs w:val="26"/>
          <w:lang w:val="ru-RU"/>
        </w:rPr>
        <w:t>Постановление всту</w:t>
      </w:r>
      <w:r w:rsidR="00CB63DE" w:rsidRPr="00F13AF0">
        <w:rPr>
          <w:rFonts w:ascii="Times New Roman" w:hAnsi="Times New Roman"/>
          <w:sz w:val="26"/>
          <w:szCs w:val="26"/>
          <w:lang w:val="ru-RU"/>
        </w:rPr>
        <w:t xml:space="preserve">пает в силу с момента </w:t>
      </w:r>
      <w:r w:rsidR="009505C7" w:rsidRPr="00F13AF0">
        <w:rPr>
          <w:rFonts w:ascii="Times New Roman" w:hAnsi="Times New Roman"/>
          <w:sz w:val="26"/>
          <w:szCs w:val="26"/>
          <w:lang w:val="ru-RU"/>
        </w:rPr>
        <w:t>опубликования</w:t>
      </w:r>
      <w:r w:rsidR="00CB63DE" w:rsidRPr="00F13AF0">
        <w:rPr>
          <w:rFonts w:ascii="Times New Roman" w:hAnsi="Times New Roman"/>
          <w:sz w:val="26"/>
          <w:szCs w:val="26"/>
          <w:lang w:val="ru-RU"/>
        </w:rPr>
        <w:t xml:space="preserve"> и распространяет свое действие на правоотношения, возникшие с 01.01.2022</w:t>
      </w:r>
      <w:r w:rsidR="001B2F1E" w:rsidRPr="00F13AF0">
        <w:rPr>
          <w:rFonts w:ascii="Times New Roman" w:hAnsi="Times New Roman"/>
          <w:sz w:val="26"/>
          <w:szCs w:val="26"/>
          <w:lang w:val="ru-RU"/>
        </w:rPr>
        <w:t>.</w:t>
      </w:r>
    </w:p>
    <w:p w:rsidR="001B2F1E" w:rsidRPr="00F13AF0" w:rsidRDefault="009C0E25" w:rsidP="007C514A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4.</w:t>
      </w:r>
      <w:r w:rsidRPr="009C0E25">
        <w:rPr>
          <w:rFonts w:ascii="Times New Roman" w:hAnsi="Times New Roman"/>
          <w:color w:val="FFFFFF" w:themeColor="background1"/>
          <w:sz w:val="26"/>
          <w:szCs w:val="26"/>
          <w:lang w:val="ru-RU"/>
        </w:rPr>
        <w:t>.</w:t>
      </w:r>
      <w:proofErr w:type="gramStart"/>
      <w:r w:rsidR="007C514A" w:rsidRPr="00F13AF0">
        <w:rPr>
          <w:rFonts w:ascii="Times New Roman" w:hAnsi="Times New Roman"/>
          <w:sz w:val="26"/>
          <w:szCs w:val="26"/>
          <w:lang w:val="ru-RU"/>
        </w:rPr>
        <w:t>Контроль за</w:t>
      </w:r>
      <w:proofErr w:type="gramEnd"/>
      <w:r w:rsidR="007C514A" w:rsidRPr="00F13AF0">
        <w:rPr>
          <w:rFonts w:ascii="Times New Roman" w:hAnsi="Times New Roman"/>
          <w:sz w:val="26"/>
          <w:szCs w:val="26"/>
          <w:lang w:val="ru-RU"/>
        </w:rPr>
        <w:t xml:space="preserve"> исполнением постановления возложить на заместителя главы – начальника Управления по обеспечению жизнедеятельности и строительству Юргинского муниципального округа С.В. Борисова.</w:t>
      </w:r>
    </w:p>
    <w:p w:rsidR="00C13CAD" w:rsidRPr="00F13AF0" w:rsidRDefault="00C13CAD" w:rsidP="001B2F1E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9C0E25" w:rsidRDefault="009C0E25" w:rsidP="009C0E25">
      <w:pPr>
        <w:suppressAutoHyphens w:val="0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C0E25" w:rsidRPr="00FE7497" w:rsidTr="00C9348D">
        <w:tc>
          <w:tcPr>
            <w:tcW w:w="6062" w:type="dxa"/>
            <w:hideMark/>
          </w:tcPr>
          <w:p w:rsidR="009C0E25" w:rsidRPr="00FE7497" w:rsidRDefault="009C0E25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>Юргинского</w:t>
            </w:r>
            <w:proofErr w:type="spellEnd"/>
          </w:p>
          <w:p w:rsidR="009C0E25" w:rsidRPr="00FE7497" w:rsidRDefault="009C0E25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9C0E25" w:rsidRPr="00FE7497" w:rsidRDefault="009C0E25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25" w:rsidRPr="00FE7497" w:rsidRDefault="009C0E25" w:rsidP="00C9348D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</w:t>
            </w:r>
            <w:r w:rsidRPr="00FE7497">
              <w:rPr>
                <w:rFonts w:ascii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9C0E25" w:rsidRPr="005A0757" w:rsidTr="00C9348D">
        <w:tc>
          <w:tcPr>
            <w:tcW w:w="6062" w:type="dxa"/>
          </w:tcPr>
          <w:p w:rsidR="009C0E25" w:rsidRPr="005A0757" w:rsidRDefault="009C0E25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</w:pPr>
          </w:p>
          <w:p w:rsidR="009C0E25" w:rsidRPr="005A0757" w:rsidRDefault="009C0E25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</w:pPr>
            <w:r w:rsidRPr="005A0757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  <w:t>Согласовано:</w:t>
            </w:r>
          </w:p>
          <w:p w:rsidR="009C0E25" w:rsidRPr="005A0757" w:rsidRDefault="009C0E25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</w:pPr>
            <w:proofErr w:type="spellStart"/>
            <w:r w:rsidRPr="005A0757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  <w:t>И.о</w:t>
            </w:r>
            <w:proofErr w:type="gramStart"/>
            <w:r w:rsidRPr="005A0757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  <w:t>.н</w:t>
            </w:r>
            <w:proofErr w:type="gramEnd"/>
            <w:r w:rsidRPr="005A0757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  <w:t>ачальника</w:t>
            </w:r>
            <w:proofErr w:type="spellEnd"/>
            <w:r w:rsidRPr="005A0757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9C0E25" w:rsidRPr="005A0757" w:rsidRDefault="009C0E25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</w:pPr>
          </w:p>
          <w:p w:rsidR="009C0E25" w:rsidRPr="005A0757" w:rsidRDefault="009C0E25" w:rsidP="00C9348D">
            <w:pPr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</w:pPr>
          </w:p>
          <w:p w:rsidR="009C0E25" w:rsidRPr="005A0757" w:rsidRDefault="009C0E25" w:rsidP="00C9348D">
            <w:pPr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5A0757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  <w:t xml:space="preserve">         </w:t>
            </w:r>
            <w:r w:rsidRPr="005A0757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И.В. </w:t>
            </w:r>
            <w:proofErr w:type="spellStart"/>
            <w:r w:rsidRPr="005A0757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Шутова</w:t>
            </w:r>
            <w:proofErr w:type="spellEnd"/>
          </w:p>
        </w:tc>
      </w:tr>
    </w:tbl>
    <w:p w:rsidR="009C0E25" w:rsidRPr="005A0757" w:rsidRDefault="009C0E25" w:rsidP="007C514A">
      <w:pPr>
        <w:suppressAutoHyphens w:val="0"/>
        <w:ind w:left="5103"/>
        <w:rPr>
          <w:rFonts w:ascii="Times New Roman" w:hAnsi="Times New Roman" w:cs="Times New Roman"/>
          <w:color w:val="FFFFFF" w:themeColor="background1"/>
          <w:sz w:val="26"/>
          <w:szCs w:val="26"/>
          <w:lang w:val="ru-RU" w:eastAsia="ru-RU"/>
        </w:rPr>
      </w:pPr>
    </w:p>
    <w:p w:rsidR="009C0E25" w:rsidRPr="005A0757" w:rsidRDefault="009C0E25" w:rsidP="009C0E25">
      <w:pPr>
        <w:suppressAutoHyphens w:val="0"/>
        <w:rPr>
          <w:rFonts w:ascii="Times New Roman" w:hAnsi="Times New Roman" w:cs="Times New Roman"/>
          <w:color w:val="FFFFFF" w:themeColor="background1"/>
          <w:sz w:val="26"/>
          <w:szCs w:val="26"/>
          <w:lang w:val="ru-RU" w:eastAsia="ru-RU"/>
        </w:rPr>
      </w:pPr>
    </w:p>
    <w:p w:rsidR="009C0E25" w:rsidRPr="005A0757" w:rsidRDefault="009C0E25" w:rsidP="009C0E25">
      <w:pPr>
        <w:suppressAutoHyphens w:val="0"/>
        <w:rPr>
          <w:rFonts w:ascii="Times New Roman" w:hAnsi="Times New Roman" w:cs="Times New Roman"/>
          <w:color w:val="FFFFFF" w:themeColor="background1"/>
          <w:sz w:val="26"/>
          <w:szCs w:val="26"/>
          <w:lang w:val="ru-RU" w:eastAsia="ru-RU"/>
        </w:rPr>
      </w:pPr>
    </w:p>
    <w:p w:rsidR="009C0E25" w:rsidRPr="005A0757" w:rsidRDefault="009C0E25" w:rsidP="007C514A">
      <w:pPr>
        <w:suppressAutoHyphens w:val="0"/>
        <w:ind w:left="5103"/>
        <w:rPr>
          <w:rFonts w:ascii="Times New Roman" w:hAnsi="Times New Roman" w:cs="Times New Roman"/>
          <w:color w:val="FFFFFF" w:themeColor="background1"/>
          <w:sz w:val="26"/>
          <w:szCs w:val="26"/>
          <w:lang w:val="ru-RU" w:eastAsia="ru-RU"/>
        </w:rPr>
      </w:pPr>
    </w:p>
    <w:p w:rsidR="007C514A" w:rsidRPr="00F13AF0" w:rsidRDefault="007C514A" w:rsidP="007C514A">
      <w:pPr>
        <w:suppressAutoHyphens w:val="0"/>
        <w:ind w:left="5103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 w:eastAsia="ru-RU"/>
        </w:rPr>
        <w:lastRenderedPageBreak/>
        <w:t>Приложение</w:t>
      </w:r>
    </w:p>
    <w:p w:rsidR="007C514A" w:rsidRPr="00F13AF0" w:rsidRDefault="007C514A" w:rsidP="007C514A">
      <w:pPr>
        <w:suppressAutoHyphens w:val="0"/>
        <w:ind w:left="5103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 w:eastAsia="ru-RU"/>
        </w:rPr>
        <w:t>к постановлению администрации</w:t>
      </w:r>
    </w:p>
    <w:p w:rsidR="007C514A" w:rsidRPr="00F13AF0" w:rsidRDefault="007C514A" w:rsidP="007C514A">
      <w:pPr>
        <w:suppressAutoHyphens w:val="0"/>
        <w:ind w:left="5103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 w:eastAsia="ru-RU"/>
        </w:rPr>
        <w:t>Юргинского муниципального округа</w:t>
      </w:r>
    </w:p>
    <w:p w:rsidR="007C514A" w:rsidRPr="005A0757" w:rsidRDefault="005A0757" w:rsidP="007C514A">
      <w:pPr>
        <w:suppressAutoHyphens w:val="0"/>
        <w:ind w:left="5103"/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от  </w:t>
      </w:r>
      <w:r w:rsidRPr="005A0757"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  <w:t>30.06.2022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№  </w:t>
      </w:r>
      <w:bookmarkStart w:id="0" w:name="_GoBack"/>
      <w:r w:rsidRPr="005A0757"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  <w:t>53-МНА</w:t>
      </w:r>
    </w:p>
    <w:bookmarkEnd w:id="0"/>
    <w:p w:rsidR="002311B4" w:rsidRPr="00F13AF0" w:rsidRDefault="002311B4" w:rsidP="00297EA9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2311B4" w:rsidRPr="00F13AF0" w:rsidRDefault="002311B4" w:rsidP="00297EA9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Программа профилактики рисков причинения вреда (ущерба) охраняемым законом ценностям при осуществлении на территории </w:t>
      </w:r>
      <w:r w:rsidR="002311B4" w:rsidRPr="00F13AF0">
        <w:rPr>
          <w:rFonts w:ascii="Times New Roman" w:hAnsi="Times New Roman" w:cs="Times New Roman"/>
          <w:b/>
          <w:sz w:val="26"/>
          <w:szCs w:val="26"/>
          <w:lang w:val="ru-RU"/>
        </w:rPr>
        <w:t>Юргинского</w:t>
      </w:r>
      <w:r w:rsidRPr="00F13AF0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муниципального округа муниципального жилищного контроля на 2022 год</w:t>
      </w: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b/>
          <w:sz w:val="26"/>
          <w:szCs w:val="26"/>
          <w:lang w:val="ru-RU"/>
        </w:rPr>
        <w:t>Общие положения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Программа профилактики рисков причинения вреда (ущерба) охраняемым законом ценностям при осуществлении на территории </w:t>
      </w:r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 муниципального жилищного контроля на 2022 год (далее - Программа профилактики),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 Федерации», Федерального закона от 31.07.2020 № 247 – ФЗ «Об обязательных требованиях в Российской Федерации»  и  Постановления</w:t>
      </w:r>
      <w:proofErr w:type="gramEnd"/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организации проведения </w:t>
      </w:r>
      <w:r w:rsidR="009D17EE"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администрации Юргинского муниципального округа в лице Управления по обеспечению жизнедеятельности и строительству Юргинского муниципального округа 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>профилактики рисков причинения вреда (ущерба) охраняемым законом требований, установленных законодательством Российской Федерации, а также требований установленных законами Кемеровской</w:t>
      </w:r>
      <w:proofErr w:type="gramEnd"/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области – Кузбасса и муниципальными правовыми актами, в случаях, если соответствующие виды контроля относятся к вопросам местного значения (далее –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Профилактика рисков причинения вреда (ущерба) охраняемых законом ценностям проводится в рамках осуществления перечня </w:t>
      </w:r>
      <w:r w:rsidR="002A5175" w:rsidRPr="00F13AF0">
        <w:rPr>
          <w:rFonts w:ascii="Times New Roman" w:hAnsi="Times New Roman" w:cs="Times New Roman"/>
          <w:sz w:val="26"/>
          <w:szCs w:val="26"/>
          <w:lang w:val="ru-RU"/>
        </w:rPr>
        <w:t>муниципальных контролей,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указанных в Положении о муниципальном жилищном контроле в </w:t>
      </w:r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Юргинском 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муниципальном округе, утвержденного решением Совета народных депутатов </w:t>
      </w:r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 </w:t>
      </w:r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>28.10.2021 № 158-НА.</w:t>
      </w:r>
    </w:p>
    <w:p w:rsidR="00515AAA" w:rsidRPr="00F13AF0" w:rsidRDefault="00515AAA" w:rsidP="00423E77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Программа профилактики будет реализована в 2022 году и содержит описание текущего состояния поднадзорной сферы, содержит проект плана мероприятий по профилактике рисков причинения вреда (ущерба) охраняемым законом ценностям при осуществлении на территории </w:t>
      </w:r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 муниципального жилищного контроля на 2022 год и показатели оценки реализации Программы профилактики.</w:t>
      </w:r>
    </w:p>
    <w:p w:rsidR="00423E77" w:rsidRPr="00F13AF0" w:rsidRDefault="00423E77" w:rsidP="00423E77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Раздел 1. Анализ текущего состояния осуществления муниципального жилищного контроля на территории </w:t>
      </w:r>
      <w:r w:rsidR="002311B4" w:rsidRPr="00F13AF0">
        <w:rPr>
          <w:rFonts w:ascii="Times New Roman" w:hAnsi="Times New Roman" w:cs="Times New Roman"/>
          <w:b/>
          <w:sz w:val="26"/>
          <w:szCs w:val="26"/>
          <w:lang w:val="ru-RU"/>
        </w:rPr>
        <w:t>Юргинского</w:t>
      </w:r>
      <w:r w:rsidRPr="00F13AF0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муниципального округа</w:t>
      </w: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lastRenderedPageBreak/>
        <w:t>обязательных требований, установленных федеральными законами, законами Кемеровской области-Кузбасса и муниципальными правовыми актами в отношении муниципального жилищного фонда в сфере жилищных отношений с целью недопущения причинения вреда (ущерба) охраняемым законом ценностям.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Обязательные требования, установлены следующими нормативными правовыми актами в сфере муниципального жилищного контроля: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Жилищный Кодекс РФ.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Гражданский Кодекс РФ.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Кодекс Российской Федерации об административных правонарушениях.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06.10.2003 № 131-ФЗ «Об общих принципах организации местного самоуправления в Российской Федерации».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02.05.2006 № 59-ФЗ «О порядке рассмотрения обращений граждан».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23.11.2009 № 261-ФЗ «Об энергосбережении и повышении энергетической эффективности и о внесении изменений в отдельные законодательные акты РФ».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31.07.2020 № 248-ФЗ «О государственном контроле (надзоре) и муниципальном контроле в Российской Федерации».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31.07.2020 № 247 «Об обязательных требованиях в Российской Федерации».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- Постановления Правительства РФ от 30.06.2010 № 489 « Об утверждении Правил подготовки органами государственного контроля (надзора) и органами муниципального </w:t>
      </w:r>
      <w:proofErr w:type="gramStart"/>
      <w:r w:rsidRPr="00F13AF0">
        <w:rPr>
          <w:rFonts w:ascii="Times New Roman" w:hAnsi="Times New Roman" w:cs="Times New Roman"/>
          <w:sz w:val="26"/>
          <w:szCs w:val="26"/>
          <w:lang w:val="ru-RU"/>
        </w:rPr>
        <w:t>контроля ежегодных планов проведения поверок юридических лиц</w:t>
      </w:r>
      <w:proofErr w:type="gramEnd"/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и индивидуальных предпринимателей».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-Постановление Правительства РФ от 21.01.2006 № 25 «Об утверждении Правил пользования жилыми помещениями».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13AF0">
        <w:rPr>
          <w:rFonts w:ascii="Times New Roman" w:hAnsi="Times New Roman" w:cs="Times New Roman"/>
          <w:sz w:val="26"/>
          <w:szCs w:val="26"/>
          <w:lang w:val="ru-RU"/>
        </w:rPr>
        <w:t>-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надлежащего качества и (или) с перерывами, превышающими установленную продолжительность».</w:t>
      </w:r>
      <w:proofErr w:type="gramEnd"/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Постановление Правительства РФ от 15.05.2013 № 416 «О порядке осуществления  деятельности по управлению многоквартирными домами».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Постановление Правительства РФ от 25.06.2021 № 990 «Об утверждении контрольными (надзорными) органами программы профилактики рисков причинения вреда (ущерба) охраняемым законом ценностям».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Постановление Госстроя РФ от 27.09.2003 № 170 «Об утверждении Правил и норм технической эксплуатации жилищного фонда».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- Закон Кемеровской области от 16.06.2006 № 89-ОЗ «Об административных правонарушениях в Кемеровской области».</w:t>
      </w:r>
    </w:p>
    <w:p w:rsidR="00515AAA" w:rsidRPr="00F13AF0" w:rsidRDefault="002A5175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lastRenderedPageBreak/>
        <w:t>На основании пункта 6</w:t>
      </w:r>
      <w:r w:rsidR="00515AAA"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статьи 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>98 Федерального</w:t>
      </w:r>
      <w:r w:rsidR="00515AAA"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закона от 31.07.2020 № 248-ФЗ «О государственном контроле (надзоре) и муниципальном контроле в Российской Федерации» органы муниципального контроля (надзора) проводят профилактические мероприятия, предусмотренные вышеуказанным Федеральным законом без утверждения программы профилактики причинения вреда (ущерба) охраняемым законом ценностям.</w:t>
      </w:r>
    </w:p>
    <w:p w:rsidR="00515AAA" w:rsidRPr="00F13AF0" w:rsidRDefault="00515AAA" w:rsidP="002A517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13AF0">
        <w:rPr>
          <w:rFonts w:ascii="Times New Roman" w:hAnsi="Times New Roman" w:cs="Times New Roman"/>
          <w:sz w:val="26"/>
          <w:szCs w:val="26"/>
          <w:lang w:val="ru-RU"/>
        </w:rPr>
        <w:t>Согласно  пункта</w:t>
      </w:r>
      <w:proofErr w:type="gramEnd"/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 2  статьи  45 Федерального  закона  от  31.07.2020</w:t>
      </w:r>
      <w:r w:rsidR="002A5175"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>№ 248-ФЗ «О государственном контроле (надзоре) и муниципальном контроле в Российской Федерации» при осуществлении муниципального контроля (надзора) обязательными профилактическими мероприятиями являются информирование и консультирование, если иное не установлено нормами федерального законодательства РФ.</w:t>
      </w:r>
    </w:p>
    <w:p w:rsidR="00515AAA" w:rsidRPr="00F13AF0" w:rsidRDefault="00C13CAD" w:rsidP="00C13CAD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Муниципальный  жилищный контроль в области соблюдения юридическими лицами, индивидуальными предпринимателями и гражданами обязательных требований, установленных федеральными законами, законами Кемеровской области-Кузбасса и муниципальными правовыми актами в отношении муниципального жилищного фонда в сфере жилищных отношений с целью недопущения причинения вреда (ущерба) охраняемым законом ценностям является  вновь введенным видом муниципального контроля, ранее не осуществлявшимся на территории </w:t>
      </w:r>
      <w:r w:rsidR="002311B4" w:rsidRPr="00F13AF0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округа, поэтому отсутствует накопленная база</w:t>
      </w:r>
      <w:proofErr w:type="gramEnd"/>
      <w:r w:rsidRPr="00F13AF0">
        <w:rPr>
          <w:rFonts w:ascii="Times New Roman" w:hAnsi="Times New Roman" w:cs="Times New Roman"/>
          <w:sz w:val="26"/>
          <w:szCs w:val="26"/>
          <w:lang w:val="ru-RU"/>
        </w:rPr>
        <w:t xml:space="preserve"> в области нарушений обязательных требований и (или) возможных рисков причинения вреда (ущерба) охраняемым законом ценностям.</w:t>
      </w:r>
    </w:p>
    <w:p w:rsidR="00423E77" w:rsidRPr="00F13AF0" w:rsidRDefault="00423E77" w:rsidP="00423E77">
      <w:pPr>
        <w:ind w:left="106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b/>
          <w:sz w:val="26"/>
          <w:szCs w:val="26"/>
          <w:lang w:val="ru-RU"/>
        </w:rPr>
        <w:t>Раздел 2. Цели и задачи реализации программы профилактики</w:t>
      </w: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F13AF0" w:rsidRDefault="00515AAA" w:rsidP="004B590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2.1. Целью программы является:</w:t>
      </w:r>
    </w:p>
    <w:p w:rsidR="00515AAA" w:rsidRPr="00F13AF0" w:rsidRDefault="00515AAA" w:rsidP="004B590B">
      <w:pPr>
        <w:numPr>
          <w:ilvl w:val="0"/>
          <w:numId w:val="2"/>
        </w:numPr>
        <w:ind w:left="35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предупреждение причинения вреда (ущерба) охраняемым законом ценностям, предупреждение нарушений,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15AAA" w:rsidRPr="00F13AF0" w:rsidRDefault="00515AAA" w:rsidP="004B590B">
      <w:pPr>
        <w:numPr>
          <w:ilvl w:val="0"/>
          <w:numId w:val="2"/>
        </w:numPr>
        <w:ind w:left="35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создание мотивации к добросовестному поведению подконтрольных субъектов;</w:t>
      </w:r>
    </w:p>
    <w:p w:rsidR="004B590B" w:rsidRPr="00F13AF0" w:rsidRDefault="00515AAA" w:rsidP="004B590B">
      <w:pPr>
        <w:numPr>
          <w:ilvl w:val="0"/>
          <w:numId w:val="2"/>
        </w:numPr>
        <w:ind w:left="35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снижение уровня ущерба охраняемым законом ценностям.</w:t>
      </w:r>
    </w:p>
    <w:p w:rsidR="004B590B" w:rsidRPr="00F13AF0" w:rsidRDefault="004B590B" w:rsidP="004B590B">
      <w:pPr>
        <w:ind w:left="35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F13AF0" w:rsidRDefault="00515AAA" w:rsidP="004B590B">
      <w:pPr>
        <w:ind w:left="714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2.2. Задачами программы являются:</w:t>
      </w:r>
    </w:p>
    <w:p w:rsidR="00515AAA" w:rsidRPr="00F13AF0" w:rsidRDefault="00515AAA" w:rsidP="004B590B">
      <w:pPr>
        <w:numPr>
          <w:ilvl w:val="0"/>
          <w:numId w:val="3"/>
        </w:numPr>
        <w:ind w:left="35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Укрепление системы профилактики нарушений обязательных требований и риска причинения вреда (ущерба) охраняемым законом ценностям путём активизации профилактической деятельности;</w:t>
      </w:r>
    </w:p>
    <w:p w:rsidR="00515AAA" w:rsidRPr="00F13AF0" w:rsidRDefault="00515AAA" w:rsidP="004B590B">
      <w:pPr>
        <w:numPr>
          <w:ilvl w:val="0"/>
          <w:numId w:val="3"/>
        </w:numPr>
        <w:ind w:left="35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Выявление причин, факторов и условий, способствующих нарушениям обязательных требований и причинения вреда (ущерба) охраняемых законом ценностей;</w:t>
      </w:r>
    </w:p>
    <w:p w:rsidR="00515AAA" w:rsidRPr="00F13AF0" w:rsidRDefault="00515AAA" w:rsidP="004B590B">
      <w:pPr>
        <w:numPr>
          <w:ilvl w:val="0"/>
          <w:numId w:val="3"/>
        </w:numPr>
        <w:ind w:left="35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Повышение правосознания и правовой культуры руководителей юридических лиц и индивидуальных предпринимателей;</w:t>
      </w:r>
    </w:p>
    <w:p w:rsidR="00515AAA" w:rsidRPr="00F13AF0" w:rsidRDefault="00515AAA" w:rsidP="004B590B">
      <w:pPr>
        <w:numPr>
          <w:ilvl w:val="0"/>
          <w:numId w:val="3"/>
        </w:numPr>
        <w:ind w:left="35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15AAA" w:rsidRPr="00F13AF0" w:rsidRDefault="00515AAA" w:rsidP="004B590B">
      <w:pPr>
        <w:numPr>
          <w:ilvl w:val="0"/>
          <w:numId w:val="3"/>
        </w:numPr>
        <w:ind w:left="35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b/>
          <w:sz w:val="26"/>
          <w:szCs w:val="26"/>
          <w:lang w:val="ru-RU"/>
        </w:rPr>
        <w:t>Раздел 3.  План мероприятий по профилактике рисков причинения вреда (ущерба) охраняемых законом ценностей</w:t>
      </w: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4431"/>
        <w:gridCol w:w="2014"/>
        <w:gridCol w:w="2374"/>
      </w:tblGrid>
      <w:tr w:rsidR="00515AAA" w:rsidRPr="00F13AF0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/п</w:t>
            </w:r>
          </w:p>
        </w:tc>
        <w:tc>
          <w:tcPr>
            <w:tcW w:w="4890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мероприятия</w:t>
            </w:r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 реализации</w:t>
            </w:r>
          </w:p>
        </w:tc>
        <w:tc>
          <w:tcPr>
            <w:tcW w:w="197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Ответственное должностное лицо</w:t>
            </w:r>
          </w:p>
        </w:tc>
      </w:tr>
      <w:tr w:rsidR="00515AAA" w:rsidRPr="00F13AF0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4890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97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515AAA" w:rsidRPr="000865E5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4890" w:type="dxa"/>
          </w:tcPr>
          <w:p w:rsidR="00515AAA" w:rsidRPr="00F13AF0" w:rsidRDefault="00515AAA" w:rsidP="009D17E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 путем размещения соответствующей информации в средствах массовой информации (газете «</w:t>
            </w:r>
            <w:r w:rsidR="002311B4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Юргинский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D17EE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ведомости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») и</w:t>
            </w:r>
            <w:r w:rsidR="005A2974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официальном сайте администрации </w:t>
            </w:r>
            <w:r w:rsidR="002311B4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в информационно-телекоммуникационной сети Интернет нормативных правовых актов, проверка соблюдения которых является предметом муниципального контроля</w:t>
            </w:r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года (по мере необходимости)</w:t>
            </w:r>
          </w:p>
        </w:tc>
        <w:tc>
          <w:tcPr>
            <w:tcW w:w="1977" w:type="dxa"/>
          </w:tcPr>
          <w:p w:rsidR="004B590B" w:rsidRPr="00F13AF0" w:rsidRDefault="004B590B" w:rsidP="004B590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0865E5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4890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Информирование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 путем проведения разъяснительной работы в средствах массовой информации, с применением иных способов информирования без непосредственного взаимодействия с контролируемыми лицами.</w:t>
            </w:r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года (по мере необходимости)</w:t>
            </w:r>
          </w:p>
        </w:tc>
        <w:tc>
          <w:tcPr>
            <w:tcW w:w="1977" w:type="dxa"/>
          </w:tcPr>
          <w:p w:rsidR="009D17EE" w:rsidRPr="00F13AF0" w:rsidRDefault="009D17EE" w:rsidP="009D17E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0865E5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4890" w:type="dxa"/>
          </w:tcPr>
          <w:p w:rsidR="00515AAA" w:rsidRPr="00F13AF0" w:rsidRDefault="00515AAA" w:rsidP="005A297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Своевременное информирование юридических лиц и индивидуальных предпринимателей об изменении обязательных требований, путем размещения информации в газете «</w:t>
            </w:r>
            <w:proofErr w:type="spellStart"/>
            <w:r w:rsidR="005A2974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Юргинские</w:t>
            </w:r>
            <w:proofErr w:type="spellEnd"/>
            <w:r w:rsidR="005A2974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ведомости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 (официальном печатном органе 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администрации </w:t>
            </w:r>
            <w:r w:rsidR="002311B4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="005A2974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округа) или 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размещения на официальном сайте администрации </w:t>
            </w:r>
            <w:r w:rsidR="002311B4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в информационно-телекоммуникационной сети Интернет, а также подготовки и распространения комментариев о содержании новых нормативных правовых актов, устанавливающих новые обязательные требования, сроках и порядке вступления их в</w:t>
            </w:r>
            <w:proofErr w:type="gramEnd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действие, а также рекомендаций о проведении необходимых организационных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 течение года (по мере необходимости)</w:t>
            </w:r>
          </w:p>
        </w:tc>
        <w:tc>
          <w:tcPr>
            <w:tcW w:w="1977" w:type="dxa"/>
          </w:tcPr>
          <w:p w:rsidR="009D17EE" w:rsidRPr="00F13AF0" w:rsidRDefault="009D17EE" w:rsidP="009D17E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Начальник Управления по обеспечению жизнедеятельности и строительству Юргинского муниципального </w:t>
            </w: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округа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0865E5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4.</w:t>
            </w:r>
          </w:p>
        </w:tc>
        <w:tc>
          <w:tcPr>
            <w:tcW w:w="4890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Консультирование по обращениям контролируемых лиц и их представителей по вопросам, связанным с организацией и осуществлением муниципального контроля (надзора). Консультирование может осуществляться:</w:t>
            </w:r>
          </w:p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по телефону;</w:t>
            </w:r>
          </w:p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при личном обращении;</w:t>
            </w:r>
          </w:p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по средствам видео-конференц-связи;</w:t>
            </w:r>
          </w:p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в ходе проведения профилактического мероприятия;</w:t>
            </w:r>
          </w:p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в ходе проведения контрольного (надзорного) мероприятия.</w:t>
            </w:r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мере необходимости</w:t>
            </w:r>
          </w:p>
        </w:tc>
        <w:tc>
          <w:tcPr>
            <w:tcW w:w="1977" w:type="dxa"/>
          </w:tcPr>
          <w:p w:rsidR="009D17EE" w:rsidRPr="00F13AF0" w:rsidRDefault="009D17EE" w:rsidP="009D17E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0865E5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4890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Обобщение практики осуществления мероприятий по муниципальному контролю с размещением на официальном сайте администрации </w:t>
            </w:r>
            <w:r w:rsidR="002311B4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отношении мер, которые должны быть приниматься юридическими лицами и индивидуальными предпринимателями в целях недопущения таких нарушений.</w:t>
            </w:r>
            <w:proofErr w:type="gramEnd"/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Ежегодно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реже одного раза в год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(в году, следующем за </w:t>
            </w:r>
            <w:proofErr w:type="gramStart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отчетным</w:t>
            </w:r>
            <w:proofErr w:type="gramEnd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977" w:type="dxa"/>
          </w:tcPr>
          <w:p w:rsidR="009D17EE" w:rsidRPr="00F13AF0" w:rsidRDefault="009D17EE" w:rsidP="009D17E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0865E5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6.</w:t>
            </w:r>
          </w:p>
        </w:tc>
        <w:tc>
          <w:tcPr>
            <w:tcW w:w="4890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Объявление предостережений о недопустимости нарушения обязательных требований проводится в соответствии со статьями 45 и 49 Федерального закона от 31.07.2020 № 248-ФЗ «О государственном контроле (надзоре) и муниципальном контроле в Российской Федерации» (если иной порядок не установлен законодательством РФ).</w:t>
            </w:r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года (по мере необходимости)</w:t>
            </w:r>
          </w:p>
        </w:tc>
        <w:tc>
          <w:tcPr>
            <w:tcW w:w="1977" w:type="dxa"/>
          </w:tcPr>
          <w:p w:rsidR="009D17EE" w:rsidRPr="00F13AF0" w:rsidRDefault="009D17EE" w:rsidP="009D17E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0865E5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4890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Разработка программы профилактики нарушений обязательных требований при осуществлении муниципального контроля на следующий отчетный период и вынесение ее на общественное обсуждение</w:t>
            </w:r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Ежегодно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(до 01 октября)</w:t>
            </w:r>
          </w:p>
        </w:tc>
        <w:tc>
          <w:tcPr>
            <w:tcW w:w="1977" w:type="dxa"/>
          </w:tcPr>
          <w:p w:rsidR="009D17EE" w:rsidRPr="00F13AF0" w:rsidRDefault="009D17EE" w:rsidP="009D17E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0865E5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4890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Общественное обсуждение программы профилактики нарушений обязательных требований при осуществлении муниципального контроля на следующий отчетный период</w:t>
            </w:r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Ежегодно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(с 01 октября по 01 ноября)</w:t>
            </w:r>
          </w:p>
        </w:tc>
        <w:tc>
          <w:tcPr>
            <w:tcW w:w="1977" w:type="dxa"/>
          </w:tcPr>
          <w:p w:rsidR="009D17EE" w:rsidRPr="00F13AF0" w:rsidRDefault="009D17EE" w:rsidP="009D17E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0865E5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4890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Обсуждение и внесение изменений по результатам общественного </w:t>
            </w:r>
            <w:proofErr w:type="gramStart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обсуждения программы профилактики нарушений обязательных требований</w:t>
            </w:r>
            <w:proofErr w:type="gramEnd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 осуществлении муниципального контроля</w:t>
            </w:r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Ежегодно 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(не позднее, чем до 10 декабря)</w:t>
            </w:r>
          </w:p>
        </w:tc>
        <w:tc>
          <w:tcPr>
            <w:tcW w:w="1977" w:type="dxa"/>
          </w:tcPr>
          <w:p w:rsidR="009D17EE" w:rsidRPr="00F13AF0" w:rsidRDefault="009D17EE" w:rsidP="009D17E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0865E5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</w:t>
            </w:r>
          </w:p>
        </w:tc>
        <w:tc>
          <w:tcPr>
            <w:tcW w:w="4890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Утверждение программы профилактики нарушений обязательных требований при осуществлении муниципального контроля на следующий отчетный период</w:t>
            </w:r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Ежегодно 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(до 20 декабря)</w:t>
            </w:r>
          </w:p>
        </w:tc>
        <w:tc>
          <w:tcPr>
            <w:tcW w:w="1977" w:type="dxa"/>
          </w:tcPr>
          <w:p w:rsidR="009D17EE" w:rsidRPr="00F13AF0" w:rsidRDefault="009D17EE" w:rsidP="009D17E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Начальник Управления по обеспечению жизнедеятельности и строительству Юргинского </w:t>
            </w: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муниципального округа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0865E5" w:rsidTr="00CC7546">
        <w:tc>
          <w:tcPr>
            <w:tcW w:w="80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11.</w:t>
            </w:r>
          </w:p>
        </w:tc>
        <w:tc>
          <w:tcPr>
            <w:tcW w:w="4890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Размещение программы профилактики на официальном сайте администрации </w:t>
            </w:r>
            <w:r w:rsidR="002311B4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в информационно-телекоммуникационной сети Интернет </w:t>
            </w:r>
          </w:p>
        </w:tc>
        <w:tc>
          <w:tcPr>
            <w:tcW w:w="189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5 дней с момента утверждения</w:t>
            </w:r>
          </w:p>
        </w:tc>
        <w:tc>
          <w:tcPr>
            <w:tcW w:w="1977" w:type="dxa"/>
          </w:tcPr>
          <w:p w:rsidR="009D17EE" w:rsidRPr="00F13AF0" w:rsidRDefault="009D17EE" w:rsidP="009D17E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3AF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515AAA" w:rsidRPr="00F13AF0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F13AF0" w:rsidRDefault="00515AAA" w:rsidP="00F13AF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b/>
          <w:sz w:val="26"/>
          <w:szCs w:val="26"/>
          <w:lang w:val="ru-RU"/>
        </w:rPr>
        <w:t>Раздел 4.  Показатели результативности и эффективности программы профилактики</w:t>
      </w: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15AAA" w:rsidRPr="00F13AF0" w:rsidRDefault="00515AAA" w:rsidP="009D17E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  <w:sectPr w:rsidR="00515AAA" w:rsidRPr="00F13AF0" w:rsidSect="007C514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t>Для оценки мероприятий по профилактике рисков причинения вреда (ущерба) охраняемым законом ценностям по итогам отчетного периода, с учетом достижения целей программы профилактики нарушений, в указанной программе установлены следующие отчетные показатели:</w:t>
      </w: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Отчетные показатели реализации программы профилактики</w:t>
      </w:r>
    </w:p>
    <w:p w:rsidR="00515AAA" w:rsidRPr="00F13AF0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5891"/>
        <w:gridCol w:w="1736"/>
        <w:gridCol w:w="1737"/>
        <w:gridCol w:w="1736"/>
        <w:gridCol w:w="1737"/>
      </w:tblGrid>
      <w:tr w:rsidR="00515AAA" w:rsidRPr="00F13AF0" w:rsidTr="00CC7546">
        <w:trPr>
          <w:jc w:val="center"/>
        </w:trPr>
        <w:tc>
          <w:tcPr>
            <w:tcW w:w="635" w:type="dxa"/>
            <w:vMerge w:val="restart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/п</w:t>
            </w:r>
          </w:p>
        </w:tc>
        <w:tc>
          <w:tcPr>
            <w:tcW w:w="5891" w:type="dxa"/>
            <w:vMerge w:val="restart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Критерии оценки</w:t>
            </w:r>
          </w:p>
        </w:tc>
        <w:tc>
          <w:tcPr>
            <w:tcW w:w="6946" w:type="dxa"/>
            <w:gridSpan w:val="4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Показатели эффективности</w:t>
            </w:r>
          </w:p>
        </w:tc>
      </w:tr>
      <w:tr w:rsidR="00515AAA" w:rsidRPr="00F13AF0" w:rsidTr="00CC7546">
        <w:trPr>
          <w:jc w:val="center"/>
        </w:trPr>
        <w:tc>
          <w:tcPr>
            <w:tcW w:w="635" w:type="dxa"/>
            <w:vMerge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891" w:type="dxa"/>
            <w:vMerge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473" w:type="dxa"/>
            <w:gridSpan w:val="2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2021 год</w:t>
            </w:r>
          </w:p>
        </w:tc>
        <w:tc>
          <w:tcPr>
            <w:tcW w:w="3473" w:type="dxa"/>
            <w:gridSpan w:val="2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 год</w:t>
            </w:r>
          </w:p>
        </w:tc>
      </w:tr>
      <w:tr w:rsidR="00515AAA" w:rsidRPr="00F13AF0" w:rsidTr="00CC7546">
        <w:trPr>
          <w:jc w:val="center"/>
        </w:trPr>
        <w:tc>
          <w:tcPr>
            <w:tcW w:w="635" w:type="dxa"/>
            <w:vMerge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891" w:type="dxa"/>
            <w:vMerge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3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Кол-во,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шт.</w:t>
            </w:r>
          </w:p>
        </w:tc>
        <w:tc>
          <w:tcPr>
            <w:tcW w:w="173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gramEnd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% к предыдущему периоду</w:t>
            </w:r>
          </w:p>
        </w:tc>
        <w:tc>
          <w:tcPr>
            <w:tcW w:w="173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Кол-во,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шт.</w:t>
            </w:r>
          </w:p>
        </w:tc>
        <w:tc>
          <w:tcPr>
            <w:tcW w:w="173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gramEnd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% к предыдущему периоду</w:t>
            </w:r>
          </w:p>
        </w:tc>
      </w:tr>
      <w:tr w:rsidR="00515AAA" w:rsidRPr="00F13AF0" w:rsidTr="00CC7546">
        <w:trPr>
          <w:jc w:val="center"/>
        </w:trPr>
        <w:tc>
          <w:tcPr>
            <w:tcW w:w="635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5891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Количество нормативных правовых актов, обязательных к размещению в СМИ и на официальном сайте администрации </w:t>
            </w:r>
            <w:r w:rsidR="002311B4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на начало отчетного периода</w:t>
            </w:r>
          </w:p>
        </w:tc>
        <w:tc>
          <w:tcPr>
            <w:tcW w:w="173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3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F13AF0" w:rsidTr="00CC7546">
        <w:trPr>
          <w:jc w:val="center"/>
        </w:trPr>
        <w:tc>
          <w:tcPr>
            <w:tcW w:w="635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5891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173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3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F13AF0" w:rsidTr="00CC7546">
        <w:trPr>
          <w:jc w:val="center"/>
        </w:trPr>
        <w:tc>
          <w:tcPr>
            <w:tcW w:w="635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5891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Количество нормативных правовых актов администрации </w:t>
            </w:r>
            <w:r w:rsidR="002311B4"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173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3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F13AF0" w:rsidTr="00CC7546">
        <w:trPr>
          <w:jc w:val="center"/>
        </w:trPr>
        <w:tc>
          <w:tcPr>
            <w:tcW w:w="635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5891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Количество разъяснений, комментариев, ответов на вопросы, опубликовано в СМИ и на официальном сайте в сети Интернет в течение отчетного периода</w:t>
            </w:r>
          </w:p>
        </w:tc>
        <w:tc>
          <w:tcPr>
            <w:tcW w:w="173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6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37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515AAA" w:rsidRPr="00F13AF0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13AF0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6214"/>
        <w:gridCol w:w="1813"/>
        <w:gridCol w:w="1813"/>
        <w:gridCol w:w="1813"/>
        <w:gridCol w:w="1814"/>
      </w:tblGrid>
      <w:tr w:rsidR="00515AAA" w:rsidRPr="00F13AF0" w:rsidTr="00CC7546">
        <w:trPr>
          <w:jc w:val="center"/>
        </w:trPr>
        <w:tc>
          <w:tcPr>
            <w:tcW w:w="584" w:type="dxa"/>
            <w:vMerge w:val="restart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/п</w:t>
            </w:r>
          </w:p>
        </w:tc>
        <w:tc>
          <w:tcPr>
            <w:tcW w:w="6214" w:type="dxa"/>
            <w:vMerge w:val="restart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Критерии оценки</w:t>
            </w:r>
          </w:p>
        </w:tc>
        <w:tc>
          <w:tcPr>
            <w:tcW w:w="7253" w:type="dxa"/>
            <w:gridSpan w:val="4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Показатели эффективности</w:t>
            </w:r>
          </w:p>
        </w:tc>
      </w:tr>
      <w:tr w:rsidR="00515AAA" w:rsidRPr="00F13AF0" w:rsidTr="00CC7546">
        <w:trPr>
          <w:jc w:val="center"/>
        </w:trPr>
        <w:tc>
          <w:tcPr>
            <w:tcW w:w="584" w:type="dxa"/>
            <w:vMerge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14" w:type="dxa"/>
            <w:vMerge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626" w:type="dxa"/>
            <w:gridSpan w:val="2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2021 год</w:t>
            </w:r>
          </w:p>
        </w:tc>
        <w:tc>
          <w:tcPr>
            <w:tcW w:w="3627" w:type="dxa"/>
            <w:gridSpan w:val="2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 год</w:t>
            </w:r>
          </w:p>
        </w:tc>
      </w:tr>
      <w:tr w:rsidR="00515AAA" w:rsidRPr="00F13AF0" w:rsidTr="00CC7546">
        <w:trPr>
          <w:jc w:val="center"/>
        </w:trPr>
        <w:tc>
          <w:tcPr>
            <w:tcW w:w="584" w:type="dxa"/>
            <w:vMerge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14" w:type="dxa"/>
            <w:vMerge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13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Кол-во,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шт.</w:t>
            </w:r>
          </w:p>
        </w:tc>
        <w:tc>
          <w:tcPr>
            <w:tcW w:w="1813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gramEnd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% к предыдущему периоду</w:t>
            </w:r>
          </w:p>
        </w:tc>
        <w:tc>
          <w:tcPr>
            <w:tcW w:w="1813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Кол-во,</w:t>
            </w: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шт.</w:t>
            </w:r>
          </w:p>
        </w:tc>
        <w:tc>
          <w:tcPr>
            <w:tcW w:w="1814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gramEnd"/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% к предыдущему периоду</w:t>
            </w:r>
          </w:p>
        </w:tc>
      </w:tr>
      <w:tr w:rsidR="00515AAA" w:rsidRPr="00F13AF0" w:rsidTr="00CC7546">
        <w:trPr>
          <w:jc w:val="center"/>
        </w:trPr>
        <w:tc>
          <w:tcPr>
            <w:tcW w:w="584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6214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Количество проведенных консультаций</w:t>
            </w:r>
          </w:p>
        </w:tc>
        <w:tc>
          <w:tcPr>
            <w:tcW w:w="1813" w:type="dxa"/>
          </w:tcPr>
          <w:p w:rsidR="00515AAA" w:rsidRPr="00F13AF0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F13AF0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14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F13AF0" w:rsidTr="00CC7546">
        <w:trPr>
          <w:jc w:val="center"/>
        </w:trPr>
        <w:tc>
          <w:tcPr>
            <w:tcW w:w="584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6214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1813" w:type="dxa"/>
          </w:tcPr>
          <w:p w:rsidR="00515AAA" w:rsidRPr="00F13AF0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F13AF0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14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F13AF0" w:rsidTr="00CC7546">
        <w:trPr>
          <w:jc w:val="center"/>
        </w:trPr>
        <w:tc>
          <w:tcPr>
            <w:tcW w:w="584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7. </w:t>
            </w:r>
          </w:p>
        </w:tc>
        <w:tc>
          <w:tcPr>
            <w:tcW w:w="6214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Количество предостережений о недопустимости нарушения обязательных требований в соответствии статьями 45 и 49 Федерального закона от 31.07.2020 № 248-ФЗ «О государственном контроле (надзоре) и муниципальном контроле в Российской Федерации»  было выдано за отчетный период</w:t>
            </w:r>
          </w:p>
        </w:tc>
        <w:tc>
          <w:tcPr>
            <w:tcW w:w="1813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14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F13AF0" w:rsidTr="00CC7546">
        <w:trPr>
          <w:jc w:val="center"/>
        </w:trPr>
        <w:tc>
          <w:tcPr>
            <w:tcW w:w="584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6214" w:type="dxa"/>
          </w:tcPr>
          <w:p w:rsidR="00515AAA" w:rsidRPr="00F13AF0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Количество исполненных подконтрольными субъектами предостережений о недопустимости нарушения обязательных требований, установленных муниципальными правовыми актами.</w:t>
            </w:r>
          </w:p>
        </w:tc>
        <w:tc>
          <w:tcPr>
            <w:tcW w:w="1813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3A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14" w:type="dxa"/>
          </w:tcPr>
          <w:p w:rsidR="00515AAA" w:rsidRPr="00F13AF0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515AAA" w:rsidRPr="00F13AF0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297EA9" w:rsidRPr="00F13AF0" w:rsidRDefault="00297EA9" w:rsidP="00297EA9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sectPr w:rsidR="00297EA9" w:rsidRPr="00F13AF0" w:rsidSect="00515AAA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9B44612"/>
    <w:multiLevelType w:val="hybridMultilevel"/>
    <w:tmpl w:val="D28A9C68"/>
    <w:lvl w:ilvl="0" w:tplc="3F60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E1AAF"/>
    <w:multiLevelType w:val="hybridMultilevel"/>
    <w:tmpl w:val="3104E624"/>
    <w:lvl w:ilvl="0" w:tplc="03669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F63B2C"/>
    <w:multiLevelType w:val="hybridMultilevel"/>
    <w:tmpl w:val="8D94D9E4"/>
    <w:lvl w:ilvl="0" w:tplc="3F60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1E"/>
    <w:rsid w:val="000865E5"/>
    <w:rsid w:val="001B2F1E"/>
    <w:rsid w:val="002311B4"/>
    <w:rsid w:val="00297EA9"/>
    <w:rsid w:val="002A5175"/>
    <w:rsid w:val="00410AF8"/>
    <w:rsid w:val="00423E77"/>
    <w:rsid w:val="004B590B"/>
    <w:rsid w:val="00515AAA"/>
    <w:rsid w:val="005A0757"/>
    <w:rsid w:val="005A2974"/>
    <w:rsid w:val="005F5125"/>
    <w:rsid w:val="006E37E4"/>
    <w:rsid w:val="007C514A"/>
    <w:rsid w:val="009111E3"/>
    <w:rsid w:val="009505C7"/>
    <w:rsid w:val="009C0E25"/>
    <w:rsid w:val="009D17EE"/>
    <w:rsid w:val="00AB3345"/>
    <w:rsid w:val="00BD4B6D"/>
    <w:rsid w:val="00C13CAD"/>
    <w:rsid w:val="00CB63DE"/>
    <w:rsid w:val="00CE2025"/>
    <w:rsid w:val="00E33D4E"/>
    <w:rsid w:val="00F1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1E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paragraph" w:styleId="4">
    <w:name w:val="heading 4"/>
    <w:basedOn w:val="a"/>
    <w:next w:val="a"/>
    <w:link w:val="40"/>
    <w:qFormat/>
    <w:rsid w:val="001B2F1E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sz w:val="36"/>
      <w:lang w:val="en-GB"/>
    </w:rPr>
  </w:style>
  <w:style w:type="paragraph" w:styleId="5">
    <w:name w:val="heading 5"/>
    <w:basedOn w:val="a"/>
    <w:next w:val="a"/>
    <w:link w:val="50"/>
    <w:qFormat/>
    <w:rsid w:val="001B2F1E"/>
    <w:pPr>
      <w:keepNext/>
      <w:numPr>
        <w:ilvl w:val="4"/>
        <w:numId w:val="1"/>
      </w:numPr>
      <w:spacing w:before="120"/>
      <w:jc w:val="center"/>
      <w:outlineLvl w:val="4"/>
    </w:pPr>
    <w:rPr>
      <w:rFonts w:ascii="Times New Roman" w:hAnsi="Times New Roman"/>
      <w:b/>
      <w:sz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B2F1E"/>
    <w:rPr>
      <w:rFonts w:ascii="Times New Roman" w:eastAsia="Times New Roman" w:hAnsi="Times New Roman" w:cs="MS Sans Serif"/>
      <w:b/>
      <w:sz w:val="36"/>
      <w:szCs w:val="20"/>
      <w:lang w:val="en-GB" w:eastAsia="ar-SA"/>
    </w:rPr>
  </w:style>
  <w:style w:type="character" w:customStyle="1" w:styleId="50">
    <w:name w:val="Заголовок 5 Знак"/>
    <w:basedOn w:val="a0"/>
    <w:link w:val="5"/>
    <w:rsid w:val="001B2F1E"/>
    <w:rPr>
      <w:rFonts w:ascii="Times New Roman" w:eastAsia="Times New Roman" w:hAnsi="Times New Roman" w:cs="MS Sans Serif"/>
      <w:b/>
      <w:sz w:val="28"/>
      <w:szCs w:val="20"/>
      <w:lang w:val="en-GB" w:eastAsia="ar-SA"/>
    </w:rPr>
  </w:style>
  <w:style w:type="table" w:styleId="a3">
    <w:name w:val="Table Grid"/>
    <w:basedOn w:val="a1"/>
    <w:uiPriority w:val="59"/>
    <w:rsid w:val="0051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3D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D4E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Title">
    <w:name w:val="ConsPlusTitle"/>
    <w:uiPriority w:val="99"/>
    <w:rsid w:val="004B59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1E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paragraph" w:styleId="4">
    <w:name w:val="heading 4"/>
    <w:basedOn w:val="a"/>
    <w:next w:val="a"/>
    <w:link w:val="40"/>
    <w:qFormat/>
    <w:rsid w:val="001B2F1E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sz w:val="36"/>
      <w:lang w:val="en-GB"/>
    </w:rPr>
  </w:style>
  <w:style w:type="paragraph" w:styleId="5">
    <w:name w:val="heading 5"/>
    <w:basedOn w:val="a"/>
    <w:next w:val="a"/>
    <w:link w:val="50"/>
    <w:qFormat/>
    <w:rsid w:val="001B2F1E"/>
    <w:pPr>
      <w:keepNext/>
      <w:numPr>
        <w:ilvl w:val="4"/>
        <w:numId w:val="1"/>
      </w:numPr>
      <w:spacing w:before="120"/>
      <w:jc w:val="center"/>
      <w:outlineLvl w:val="4"/>
    </w:pPr>
    <w:rPr>
      <w:rFonts w:ascii="Times New Roman" w:hAnsi="Times New Roman"/>
      <w:b/>
      <w:sz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B2F1E"/>
    <w:rPr>
      <w:rFonts w:ascii="Times New Roman" w:eastAsia="Times New Roman" w:hAnsi="Times New Roman" w:cs="MS Sans Serif"/>
      <w:b/>
      <w:sz w:val="36"/>
      <w:szCs w:val="20"/>
      <w:lang w:val="en-GB" w:eastAsia="ar-SA"/>
    </w:rPr>
  </w:style>
  <w:style w:type="character" w:customStyle="1" w:styleId="50">
    <w:name w:val="Заголовок 5 Знак"/>
    <w:basedOn w:val="a0"/>
    <w:link w:val="5"/>
    <w:rsid w:val="001B2F1E"/>
    <w:rPr>
      <w:rFonts w:ascii="Times New Roman" w:eastAsia="Times New Roman" w:hAnsi="Times New Roman" w:cs="MS Sans Serif"/>
      <w:b/>
      <w:sz w:val="28"/>
      <w:szCs w:val="20"/>
      <w:lang w:val="en-GB" w:eastAsia="ar-SA"/>
    </w:rPr>
  </w:style>
  <w:style w:type="table" w:styleId="a3">
    <w:name w:val="Table Grid"/>
    <w:basedOn w:val="a1"/>
    <w:uiPriority w:val="59"/>
    <w:rsid w:val="0051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3D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D4E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Title">
    <w:name w:val="ConsPlusTitle"/>
    <w:uiPriority w:val="99"/>
    <w:rsid w:val="004B59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Куприянова Лидия Михайловна</cp:lastModifiedBy>
  <cp:revision>12</cp:revision>
  <cp:lastPrinted>2022-07-01T07:19:00Z</cp:lastPrinted>
  <dcterms:created xsi:type="dcterms:W3CDTF">2022-06-30T09:27:00Z</dcterms:created>
  <dcterms:modified xsi:type="dcterms:W3CDTF">2022-07-04T08:05:00Z</dcterms:modified>
</cp:coreProperties>
</file>