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44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3544"/>
        <w:gridCol w:w="992"/>
        <w:gridCol w:w="709"/>
        <w:gridCol w:w="802"/>
      </w:tblGrid>
      <w:tr w:rsidR="00242408" w:rsidRPr="009D49C6" w:rsidTr="00436352">
        <w:trPr>
          <w:trHeight w:val="832"/>
        </w:trPr>
        <w:tc>
          <w:tcPr>
            <w:tcW w:w="14944" w:type="dxa"/>
            <w:gridSpan w:val="6"/>
          </w:tcPr>
          <w:p w:rsidR="005C236E" w:rsidRPr="005C236E" w:rsidRDefault="005C236E" w:rsidP="005C2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достижения ключевых показателей </w:t>
            </w:r>
          </w:p>
          <w:p w:rsidR="005C236E" w:rsidRPr="005C236E" w:rsidRDefault="005C236E" w:rsidP="005C2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>по содействию развития конкуренции в Юргинском муниципальном округе за 202</w:t>
            </w:r>
            <w:r w:rsidR="004363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5C236E" w:rsidRPr="005C236E" w:rsidRDefault="005C236E" w:rsidP="005C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408" w:rsidRDefault="00242408" w:rsidP="009D4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352" w:rsidRPr="009D49C6" w:rsidTr="00436352">
        <w:trPr>
          <w:trHeight w:val="832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8363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товарного рынка, (описание проблем, цели рынка)</w:t>
            </w:r>
          </w:p>
        </w:tc>
        <w:tc>
          <w:tcPr>
            <w:tcW w:w="354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ключевого показателя</w:t>
            </w:r>
          </w:p>
        </w:tc>
        <w:tc>
          <w:tcPr>
            <w:tcW w:w="99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  <w:p w:rsidR="009D49C6" w:rsidRPr="009D49C6" w:rsidRDefault="00242408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363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:rsidR="009D49C6" w:rsidRPr="009D49C6" w:rsidRDefault="00242408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36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2" w:type="dxa"/>
          </w:tcPr>
          <w:p w:rsid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4363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36352" w:rsidRPr="009D49C6" w:rsidTr="00436352">
        <w:trPr>
          <w:trHeight w:val="213"/>
        </w:trPr>
        <w:tc>
          <w:tcPr>
            <w:tcW w:w="53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общего образования</w:t>
            </w:r>
          </w:p>
          <w:p w:rsidR="009D49C6" w:rsidRPr="009D49C6" w:rsidRDefault="009D49C6" w:rsidP="00AD6C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частные общеобразовательные организации.</w:t>
            </w:r>
          </w:p>
          <w:p w:rsidR="009D49C6" w:rsidRPr="009D49C6" w:rsidRDefault="009D49C6" w:rsidP="00AD6C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Проблемы: 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деятельности. Высокая стоимость их аренды или покупки; низкая рентабельность частных образовательных организаций при высоком уровне первоначальных вложений в развитие бизнеса; высокая стоимость родительской платы в частных общеобразовательных организациях ограничивает доступ учащихся к их услугам.</w:t>
            </w:r>
          </w:p>
        </w:tc>
        <w:tc>
          <w:tcPr>
            <w:tcW w:w="354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в частных образовательных организациях, реализующих основные общеобразовательные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программы-образовательные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начального, общего, основного общего, среднего общего образования, в общем числе обучающихся в образовательных организациях</w:t>
            </w:r>
          </w:p>
        </w:tc>
        <w:tc>
          <w:tcPr>
            <w:tcW w:w="992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9D49C6" w:rsidRPr="009D49C6" w:rsidRDefault="00756C36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131A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363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дополнительного образования детей</w:t>
            </w:r>
          </w:p>
          <w:p w:rsidR="009D49C6" w:rsidRPr="009D49C6" w:rsidRDefault="009D49C6" w:rsidP="008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 детей.</w:t>
            </w:r>
          </w:p>
          <w:p w:rsidR="009D49C6" w:rsidRPr="009D49C6" w:rsidRDefault="00242408" w:rsidP="00860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Проблемы: н</w:t>
            </w:r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>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 высокие требования к условиям реализации программ (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санитарно-эпидемиологические правила и нормы</w:t>
            </w:r>
            <w:r w:rsidR="00DB40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помещения, кадры), высокая стоимость аренды помещений.</w:t>
            </w:r>
          </w:p>
        </w:tc>
        <w:tc>
          <w:tcPr>
            <w:tcW w:w="354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организации частной формы собственности</w:t>
            </w:r>
            <w:r w:rsidR="008F5487">
              <w:rPr>
                <w:rFonts w:ascii="Times New Roman" w:hAnsi="Times New Roman" w:cs="Times New Roman"/>
                <w:sz w:val="18"/>
                <w:szCs w:val="18"/>
              </w:rPr>
              <w:t xml:space="preserve"> в сфере услуг дополнительного образования</w:t>
            </w:r>
          </w:p>
        </w:tc>
        <w:tc>
          <w:tcPr>
            <w:tcW w:w="992" w:type="dxa"/>
          </w:tcPr>
          <w:p w:rsidR="009D49C6" w:rsidRPr="009D49C6" w:rsidRDefault="00355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9F5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9F5C1B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363" w:type="dxa"/>
          </w:tcPr>
          <w:p w:rsidR="00D35851" w:rsidRPr="00D35851" w:rsidRDefault="00D35851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851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отдыха и оздоровления детей</w:t>
            </w:r>
            <w:r w:rsidRPr="00D35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49C6" w:rsidRPr="009D49C6" w:rsidRDefault="009D49C6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отдыха детей и их оздоровления.</w:t>
            </w:r>
          </w:p>
          <w:p w:rsidR="009D49C6" w:rsidRPr="009D49C6" w:rsidRDefault="009D49C6" w:rsidP="00DB4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Сокращение спроса на данный вид услуг, связано  с сокращением  количества детей школьного возраста в  округе, наличием на территории Кемеровской области-Кузбасса в «шаговой» доступности уже имеющихся мест детского  отдыха и оздоровления, делающим рынок услуг детского отдыха и оздоровления не привлекательным для развития конкуренции</w:t>
            </w:r>
            <w:r w:rsidR="00DB40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D49C6" w:rsidRPr="009D49C6" w:rsidRDefault="00EE1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отдыха и оздоровления детей частной формы собственности</w:t>
            </w:r>
          </w:p>
        </w:tc>
        <w:tc>
          <w:tcPr>
            <w:tcW w:w="992" w:type="dxa"/>
          </w:tcPr>
          <w:p w:rsidR="009D49C6" w:rsidRPr="009D49C6" w:rsidRDefault="00B44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CA2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6428A6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363" w:type="dxa"/>
          </w:tcPr>
          <w:p w:rsidR="009D49C6" w:rsidRDefault="004C24F4" w:rsidP="004C03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4F4">
              <w:rPr>
                <w:rFonts w:ascii="Times New Roman" w:hAnsi="Times New Roman" w:cs="Times New Roman"/>
                <w:b/>
                <w:sz w:val="20"/>
                <w:szCs w:val="20"/>
              </w:rPr>
              <w:t>Рынок медицинских услуг</w:t>
            </w:r>
          </w:p>
          <w:p w:rsidR="004C24F4" w:rsidRPr="006428A6" w:rsidRDefault="004C24F4" w:rsidP="004C2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 xml:space="preserve">В Юргинском муниципальном округе медицинские услуги оказывает Государственное бюджетное учреждение здравоохранения Кемеровской области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«Юргинская городская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 xml:space="preserve"> больница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428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Частные, коммерческие организации, оказывающие медицинские услуги  на территории ЮМО отсутствуют.</w:t>
            </w:r>
          </w:p>
          <w:p w:rsidR="004C24F4" w:rsidRDefault="004C24F4" w:rsidP="004C2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Проблемы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лицензирование и регистрация медицинской деятельности в соответствии с федеральным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      </w:r>
          </w:p>
          <w:p w:rsidR="00436352" w:rsidRPr="004C24F4" w:rsidRDefault="00436352" w:rsidP="004C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D49C6" w:rsidRPr="009D49C6" w:rsidRDefault="00056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медицинских организаций частной системы здравоохранения, участвующие в реализации территориальных программ обязательного медицинского страхования</w:t>
            </w:r>
          </w:p>
        </w:tc>
        <w:tc>
          <w:tcPr>
            <w:tcW w:w="992" w:type="dxa"/>
          </w:tcPr>
          <w:p w:rsidR="009D49C6" w:rsidRPr="009D49C6" w:rsidRDefault="00037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68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8F0314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2022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6638DE" w:rsidRDefault="006638DE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розничной торговли лекарственными препаратами оказывают организации частной формы собственности.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фармацевтической деятельности в соответствии с федеральным законодательством;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высокие первоначальные затраты на приобретение помещений в собственность или выкуп; высокие затраты на особые условия хранения лекарственных средств; недостаточное количество квалифицированных специалистов - провизоров.</w:t>
            </w:r>
          </w:p>
        </w:tc>
        <w:tc>
          <w:tcPr>
            <w:tcW w:w="354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услуг розничной торговли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лекарственными препаратами,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медицинскими изделиями и</w:t>
            </w:r>
          </w:p>
          <w:p w:rsidR="006638DE" w:rsidRDefault="004A3D10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сопутствующими товарами</w:t>
            </w:r>
          </w:p>
        </w:tc>
        <w:tc>
          <w:tcPr>
            <w:tcW w:w="992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3" w:type="dxa"/>
          </w:tcPr>
          <w:p w:rsidR="00004C60" w:rsidRDefault="00004C60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C60">
              <w:rPr>
                <w:rFonts w:ascii="Times New Roman" w:hAnsi="Times New Roman" w:cs="Times New Roman"/>
                <w:b/>
                <w:sz w:val="18"/>
                <w:szCs w:val="18"/>
              </w:rPr>
              <w:t>Рынок социальных услуг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 рынок социальных услуг представлен: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муниципальное казенное учреждение «Комплексный центр социального обслуживания  населения Юргинского муниципального округа»; - муниципальное казенное учреждение «Социально-реабилитационный центр для несовершеннолетних Юргинского муниципального округа «Солнышко»;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государственное автономное стационарное учреждение социального обслуживания «Юргинский дом-интернат для престарелых и инвалидов» </w:t>
            </w:r>
            <w:proofErr w:type="gramStart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 с. Проскоково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Арлюкское отделение государственного автономного стационарного учреждения «Юргинский дом-интернат для граждан, имеющих психические расстройства».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Частные организации, представляющие рынок социальных услуг в Юргинском муниципальном округе отсутствуют.</w:t>
            </w:r>
          </w:p>
          <w:p w:rsidR="00004C60" w:rsidRPr="00004C60" w:rsidRDefault="008B152D" w:rsidP="008B152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</w:t>
            </w:r>
          </w:p>
        </w:tc>
        <w:tc>
          <w:tcPr>
            <w:tcW w:w="3544" w:type="dxa"/>
          </w:tcPr>
          <w:p w:rsidR="00004C60" w:rsidRPr="009D49C6" w:rsidRDefault="0060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негосударственных организаций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 соц. 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бслуживания, предоставляющих </w:t>
            </w:r>
            <w:proofErr w:type="spell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992" w:type="dxa"/>
          </w:tcPr>
          <w:p w:rsidR="00004C60" w:rsidRPr="002F4D61" w:rsidRDefault="00077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D61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004C60" w:rsidRPr="002F4D61" w:rsidRDefault="00B06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D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77F7A" w:rsidRPr="002F4D6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004C60" w:rsidRPr="002F4D61" w:rsidRDefault="00B0666C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D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77F7A" w:rsidRPr="002F4D6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363" w:type="dxa"/>
          </w:tcPr>
          <w:p w:rsidR="00004C60" w:rsidRDefault="00523F4F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</w:t>
            </w:r>
            <w:r w:rsidR="008B152D">
              <w:rPr>
                <w:rFonts w:ascii="Times New Roman" w:hAnsi="Times New Roman" w:cs="Times New Roman"/>
                <w:b/>
                <w:sz w:val="18"/>
                <w:szCs w:val="18"/>
              </w:rPr>
              <w:t>ритуальных услуг</w:t>
            </w:r>
          </w:p>
          <w:p w:rsidR="00DB4043" w:rsidRDefault="008B152D" w:rsidP="00DB4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организации, оказывающие ритуальные услуги.</w:t>
            </w:r>
          </w:p>
          <w:p w:rsidR="00DB4043" w:rsidRPr="00DB4043" w:rsidRDefault="00DB4043" w:rsidP="00DB4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Отсутствие  конкуренции на рынке ритуальных услуг в округе связано:</w:t>
            </w:r>
          </w:p>
          <w:p w:rsidR="00DB4043" w:rsidRPr="00DB4043" w:rsidRDefault="00DB4043" w:rsidP="00DB40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-  расположением  его населенных пунктов на достаточном удалении друг от друга, большой протяженностью территории округа;</w:t>
            </w:r>
          </w:p>
          <w:p w:rsidR="00DB4043" w:rsidRPr="00DB4043" w:rsidRDefault="00DB4043" w:rsidP="00DB40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-  с в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ысокой стоимостью услуг, в условиях снижения платежеспособности населения;</w:t>
            </w:r>
          </w:p>
          <w:p w:rsidR="00523F4F" w:rsidRPr="00DB4043" w:rsidRDefault="00DB4043" w:rsidP="00DB40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- развитым рынком ритуальных услуг в городе Юрга,  удачно расположенном в    центре (на пересечении  дорог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 населенных пунктов  округа).</w:t>
            </w:r>
          </w:p>
        </w:tc>
        <w:tc>
          <w:tcPr>
            <w:tcW w:w="354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004C60" w:rsidRPr="009D49C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</w:t>
            </w:r>
            <w:r w:rsidR="008B152D" w:rsidRPr="00190FE6">
              <w:rPr>
                <w:rFonts w:ascii="Times New Roman" w:hAnsi="Times New Roman" w:cs="Times New Roman"/>
                <w:sz w:val="18"/>
                <w:szCs w:val="18"/>
              </w:rPr>
              <w:t>ритуальных услуг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04C60" w:rsidRPr="009D49C6" w:rsidRDefault="00E44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004C60" w:rsidRPr="009D49C6" w:rsidRDefault="00183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004C60" w:rsidRPr="009D49C6" w:rsidRDefault="00183D89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F406DB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406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5B0443" w:rsidRDefault="005B0443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услуг по сбору и транспортированию твердых коммунальных отходов </w:t>
            </w:r>
          </w:p>
          <w:p w:rsidR="005B0443" w:rsidRPr="005B0443" w:rsidRDefault="005B0443" w:rsidP="005B04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В настоящее время региональным оператором ООО «Чистый город Кемерово» оказываются услуги по сбору, транспортировке, утилизации, обезвреживании и захоронение ТКО в Юргинском муниципальном округе.</w:t>
            </w:r>
          </w:p>
          <w:p w:rsidR="007C137E" w:rsidRPr="007C137E" w:rsidRDefault="005B0443" w:rsidP="005B04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Проблемы: 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      </w:r>
          </w:p>
        </w:tc>
        <w:tc>
          <w:tcPr>
            <w:tcW w:w="3544" w:type="dxa"/>
          </w:tcPr>
          <w:p w:rsidR="005B0443" w:rsidRPr="005B0443" w:rsidRDefault="0015628E" w:rsidP="005B04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частной формы собственности в сфере </w:t>
            </w:r>
            <w:r w:rsidR="005C3B3D" w:rsidRPr="00190FE6"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5B0443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B0443" w:rsidRPr="00190FE6">
              <w:rPr>
                <w:rFonts w:ascii="Times New Roman" w:hAnsi="Times New Roman" w:cs="Times New Roman"/>
                <w:sz w:val="18"/>
                <w:szCs w:val="18"/>
              </w:rPr>
              <w:t>сбору и транспортированию твердых коммунальных отходов</w:t>
            </w:r>
            <w:r w:rsidR="005B0443"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06DB" w:rsidRPr="009D49C6" w:rsidRDefault="0015628E" w:rsidP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3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7C137E" w:rsidRDefault="00382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C1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38227D" w:rsidRDefault="0038227D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благоустройству городской среды </w:t>
            </w:r>
          </w:p>
          <w:p w:rsidR="0038227D" w:rsidRPr="0038227D" w:rsidRDefault="0038227D" w:rsidP="003822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среда».</w:t>
            </w:r>
          </w:p>
          <w:p w:rsidR="007C137E" w:rsidRPr="007C137E" w:rsidRDefault="0038227D" w:rsidP="003822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Проблемы: низкий уровень конкуренции</w:t>
            </w:r>
          </w:p>
        </w:tc>
        <w:tc>
          <w:tcPr>
            <w:tcW w:w="3544" w:type="dxa"/>
          </w:tcPr>
          <w:p w:rsidR="007C137E" w:rsidRPr="009D49C6" w:rsidRDefault="00190FE6" w:rsidP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</w:t>
            </w:r>
            <w:r w:rsidR="00C53960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</w:t>
            </w:r>
            <w:r w:rsidR="005C3B3D">
              <w:rPr>
                <w:rFonts w:ascii="Times New Roman" w:hAnsi="Times New Roman" w:cs="Times New Roman"/>
                <w:sz w:val="18"/>
                <w:szCs w:val="18"/>
              </w:rPr>
              <w:t>в сфере выполнения работ по благоустройству городской среды</w:t>
            </w:r>
          </w:p>
        </w:tc>
        <w:tc>
          <w:tcPr>
            <w:tcW w:w="992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B59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FD60F9" w:rsidRDefault="00617883" w:rsidP="00944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FD60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617883" w:rsidRPr="00617883" w:rsidRDefault="00617883" w:rsidP="006178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содержанию и текущему ремонту общего имущества собственников помещений </w:t>
            </w:r>
          </w:p>
          <w:p w:rsidR="00617883" w:rsidRDefault="00617883" w:rsidP="006178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многоквартирном доме </w:t>
            </w:r>
          </w:p>
          <w:p w:rsidR="00617883" w:rsidRPr="00617883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собственниками помещений в многоквартирных домах (85 домов) выбрана непосредственная форма управления. Собственниками жилья МКД  (17 домов) в п.ст. Юрга-2</w:t>
            </w:r>
            <w:r w:rsidR="00ED77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 управляющая компания ООО «Жилстрой». </w:t>
            </w:r>
          </w:p>
          <w:p w:rsidR="00FD60F9" w:rsidRPr="007C137E" w:rsidRDefault="00617883" w:rsidP="0094469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Проблемы: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</w:t>
            </w:r>
            <w:proofErr w:type="gramStart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D60F9" w:rsidRPr="007C13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44" w:type="dxa"/>
          </w:tcPr>
          <w:p w:rsidR="00FD60F9" w:rsidRPr="009D49C6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</w:t>
            </w:r>
            <w:r w:rsidR="00190FE6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выполнения работ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2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E41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FD60F9" w:rsidRPr="009D49C6" w:rsidRDefault="00E8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E0E7B" w:rsidRDefault="001E0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8363" w:type="dxa"/>
          </w:tcPr>
          <w:p w:rsidR="001E0E7B" w:rsidRDefault="001E0E7B" w:rsidP="001E0E7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 xml:space="preserve">» г. Юрга. Обслуживается 13 пригородных маршрутов. Частные, коммерческие организации, оказывающие транспортные услуги пассажирского автомобильного транспорта на муниципальных маршрутах  на территории Юргинского муниципального округа, отсутствуют. 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Проблемы: отсутствие организаций частной формы собственности среди предприятий пассажирского автомобильного транспорта на муниципальных маршрутах,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3544" w:type="dxa"/>
          </w:tcPr>
          <w:p w:rsidR="00190FE6" w:rsidRPr="00190FE6" w:rsidRDefault="001E0E7B" w:rsidP="00190F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формы собственности в сфере</w:t>
            </w:r>
            <w:r w:rsidR="00190FE6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>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1E0E7B" w:rsidRDefault="001E0E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1E0E7B" w:rsidRPr="009D49C6" w:rsidRDefault="001E0E7B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BD3C20" w:rsidRDefault="00BD3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363" w:type="dxa"/>
          </w:tcPr>
          <w:p w:rsidR="00BD3C20" w:rsidRDefault="00BD3C20" w:rsidP="000A2E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E83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межмуниципальной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» г. Юрга.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3544" w:type="dxa"/>
          </w:tcPr>
          <w:p w:rsidR="00B554A0" w:rsidRPr="00B554A0" w:rsidRDefault="00B554A0" w:rsidP="00B55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BD3C20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BD3C20" w:rsidRPr="009D49C6" w:rsidRDefault="00BD3C20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8363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ремонту автотранспортных средств</w:t>
            </w:r>
          </w:p>
          <w:p w:rsidR="002B3906" w:rsidRPr="00BD3C20" w:rsidRDefault="002B3906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ремонту автотранспортных средств оказывают организации частной формы собственности.</w:t>
            </w:r>
          </w:p>
          <w:p w:rsidR="002B3906" w:rsidRPr="00FD60F9" w:rsidRDefault="002B3906" w:rsidP="00BD3C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      </w:r>
          </w:p>
        </w:tc>
        <w:tc>
          <w:tcPr>
            <w:tcW w:w="3544" w:type="dxa"/>
          </w:tcPr>
          <w:p w:rsidR="002B3906" w:rsidRDefault="00B554A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 xml:space="preserve">оказания услуг по ремонту автотранспортных средств </w:t>
            </w:r>
          </w:p>
        </w:tc>
        <w:tc>
          <w:tcPr>
            <w:tcW w:w="992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8363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b/>
                <w:sz w:val="18"/>
                <w:szCs w:val="18"/>
              </w:rPr>
              <w:t>Рынок лабораторных исследований для выдачи ветеринарных сопроводительных документов</w:t>
            </w:r>
          </w:p>
          <w:p w:rsidR="002B3906" w:rsidRPr="002B3906" w:rsidRDefault="002B3906" w:rsidP="002B39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В настоящее время в Юргинском муниципальном округе услуги лабораторных исследований для выдачи ветеринарных сопроводительных документов предоставляет  ГБУ «Юргинская станция по борьбе с болезнями животных». Частные организации, представляющие рынок лабораторных исследований для выдачи ветеринарных сопроводительных документов в Юргинском муниципальном округе отсутствуют.</w:t>
            </w:r>
          </w:p>
          <w:p w:rsidR="002B3906" w:rsidRPr="00FD60F9" w:rsidRDefault="002B3906" w:rsidP="002B390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деятельности в соответствии с федеральным законодательством, высокий уровень первоначальных вложений в развитие бизнеса, отсутствие свободных помещений или высокая арендная плата; дефицит квалифицированных кадров.</w:t>
            </w:r>
          </w:p>
        </w:tc>
        <w:tc>
          <w:tcPr>
            <w:tcW w:w="354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C15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лабораторных исследований для выдачи ветеринарных сопроводительных документов</w:t>
            </w:r>
          </w:p>
          <w:p w:rsidR="002B3906" w:rsidRPr="009D49C6" w:rsidRDefault="002B3906" w:rsidP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2B3906" w:rsidRPr="009D49C6" w:rsidRDefault="002B3906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97AAA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8363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b/>
                <w:sz w:val="18"/>
                <w:szCs w:val="18"/>
              </w:rPr>
              <w:t>Рынок племенного животноводства</w:t>
            </w:r>
          </w:p>
          <w:p w:rsidR="00ED7715" w:rsidRDefault="00ED7715" w:rsidP="00197A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В Юргинском муниципальном округе  действует одно предприятие (ООО «Юргинский Аграрий»),  имеющее  статус «Племрепродуктора».</w:t>
            </w:r>
          </w:p>
          <w:p w:rsidR="00197AAA" w:rsidRPr="00FD60F9" w:rsidRDefault="00197AAA" w:rsidP="00197AA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sz w:val="18"/>
                <w:szCs w:val="18"/>
              </w:rPr>
      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      </w:r>
          </w:p>
        </w:tc>
        <w:tc>
          <w:tcPr>
            <w:tcW w:w="354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на рынке</w:t>
            </w:r>
          </w:p>
          <w:p w:rsidR="00197AAA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племенного животноводства</w:t>
            </w:r>
          </w:p>
        </w:tc>
        <w:tc>
          <w:tcPr>
            <w:tcW w:w="992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97AAA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60F9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добычи общераспространенных полезных ископаемых на участках недр местного значения</w:t>
            </w:r>
          </w:p>
          <w:p w:rsidR="00ED7715" w:rsidRDefault="00ED7715" w:rsidP="00E744C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2022 году на территории Юргинского муниципального округа действовало 2 лицензии на пользование недрами с целью добычи общераспространенных полезных ископаемых </w:t>
            </w:r>
          </w:p>
          <w:p w:rsidR="00197AAA" w:rsidRPr="00FD60F9" w:rsidRDefault="00E744C1" w:rsidP="00E744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производителями.</w:t>
            </w:r>
          </w:p>
        </w:tc>
        <w:tc>
          <w:tcPr>
            <w:tcW w:w="3544" w:type="dxa"/>
          </w:tcPr>
          <w:p w:rsidR="00197AAA" w:rsidRPr="009D49C6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 собственности в сфере добычи общераспространенных полезных ископаемых на участках недр местного значения</w:t>
            </w:r>
          </w:p>
        </w:tc>
        <w:tc>
          <w:tcPr>
            <w:tcW w:w="992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E744C1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8363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b/>
                <w:sz w:val="18"/>
                <w:szCs w:val="18"/>
              </w:rPr>
              <w:t>Рынок легкой промышленности</w:t>
            </w:r>
          </w:p>
          <w:p w:rsidR="00E744C1" w:rsidRPr="00E744C1" w:rsidRDefault="00E744C1" w:rsidP="00E744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отсутствует рынок легкой промышленности.</w:t>
            </w:r>
          </w:p>
          <w:p w:rsidR="00E744C1" w:rsidRPr="00436352" w:rsidRDefault="00E744C1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Проблемы: высокая конкуренция на внутреннем рынке между российскими и зарубежными товаропроизводителями, высокий удельный вес дешевых товаров китайского производства, отсутствие равных конкурентных возможностей с иностранными производителями, недостаточный уровень инвестиций, необходимых для модернизации отрасли и внедрения современных технологий,  нехватка собственных оборотных средств, низкая заработная плата.</w:t>
            </w:r>
          </w:p>
        </w:tc>
        <w:tc>
          <w:tcPr>
            <w:tcW w:w="354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E744C1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легкой промышленности</w:t>
            </w:r>
          </w:p>
        </w:tc>
        <w:tc>
          <w:tcPr>
            <w:tcW w:w="992" w:type="dxa"/>
          </w:tcPr>
          <w:p w:rsidR="00E744C1" w:rsidRPr="009D49C6" w:rsidRDefault="00E744C1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E744C1" w:rsidRPr="009D49C6" w:rsidRDefault="00E744C1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E744C1" w:rsidRPr="009D49C6" w:rsidRDefault="00E744C1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E744C1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B37">
              <w:rPr>
                <w:rFonts w:ascii="Times New Roman" w:hAnsi="Times New Roman" w:cs="Times New Roman"/>
                <w:b/>
                <w:sz w:val="18"/>
                <w:szCs w:val="18"/>
              </w:rPr>
              <w:t>Рынок обработки древесины и производства изделий из дерева</w:t>
            </w:r>
          </w:p>
          <w:p w:rsidR="00C33083" w:rsidRPr="00C33083" w:rsidRDefault="00C33083" w:rsidP="00C3308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Рынок обработки древесины и производства изделий из дерева в Юргинском муниципальном округе представлен индивидуальными предпринимателями.</w:t>
            </w:r>
          </w:p>
          <w:p w:rsidR="00E744C1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Проблемы: низкий технический уровень производства отрасли; 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      </w:r>
          </w:p>
        </w:tc>
        <w:tc>
          <w:tcPr>
            <w:tcW w:w="3544" w:type="dxa"/>
          </w:tcPr>
          <w:p w:rsidR="00E744C1" w:rsidRPr="009D49C6" w:rsidRDefault="00C33083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форм собственности в сфере обработки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древесины и производства изделий из дерева</w:t>
            </w:r>
          </w:p>
        </w:tc>
        <w:tc>
          <w:tcPr>
            <w:tcW w:w="992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8363" w:type="dxa"/>
          </w:tcPr>
          <w:p w:rsidR="00C33083" w:rsidRDefault="00C33083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b/>
                <w:sz w:val="18"/>
                <w:szCs w:val="18"/>
              </w:rPr>
      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ED7715" w:rsidRDefault="00ED7715" w:rsidP="00C330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На территории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2022 году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введено в эксплуатацию 4,147 тыс. кв. м. общей площади. Всего построено 27 </w:t>
            </w:r>
            <w:proofErr w:type="gramStart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индивидуальных</w:t>
            </w:r>
            <w:proofErr w:type="gramEnd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дома. </w:t>
            </w:r>
          </w:p>
          <w:p w:rsidR="00C33083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sz w:val="18"/>
                <w:szCs w:val="18"/>
              </w:rPr>
              <w:t>Проблемы: высокий физический и моральный износ жилищного фонда, высокая стоимость технологического присоединения к сетям инженерной и коммунальной инфраструктуры для застройщика, ограниченные возможности привлечения заемных средств юридическими лицами в целях жилищного строительства и комплексного освоения территорий.</w:t>
            </w:r>
          </w:p>
        </w:tc>
        <w:tc>
          <w:tcPr>
            <w:tcW w:w="354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C33083" w:rsidRPr="00F36DE0" w:rsidRDefault="00C33083" w:rsidP="00C330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8363" w:type="dxa"/>
          </w:tcPr>
          <w:p w:rsidR="00C33083" w:rsidRDefault="00EC28F2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дорожной деятельности (за исключением проектирования)</w:t>
            </w:r>
          </w:p>
          <w:p w:rsidR="00EC28F2" w:rsidRPr="00EC28F2" w:rsidRDefault="00EC28F2" w:rsidP="00EC2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заказчиками работ являются владельцы дорог или их балансодержатели. Все заказчики работ осуществляют деятельность по ремонту, капитальному ремонту, реконструкции и строительству автомобильных дорог общего пользования и улично-дорожной сети муниципальных образований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результатам проведения торгов. Муниципальные контракты заключаются как по видам работ, так и на отдельные объекты с различным набором видов работ.</w:t>
            </w:r>
          </w:p>
          <w:p w:rsidR="00EC28F2" w:rsidRPr="00C42B37" w:rsidRDefault="00EC28F2" w:rsidP="00EC28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>Проблемы: 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 не соответствующим техническим нормам и возросшей интенсивности движения</w:t>
            </w:r>
          </w:p>
        </w:tc>
        <w:tc>
          <w:tcPr>
            <w:tcW w:w="3544" w:type="dxa"/>
          </w:tcPr>
          <w:p w:rsidR="00C33083" w:rsidRDefault="00F36DE0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дорожной деятельности (за исключением проектирования)</w:t>
            </w:r>
          </w:p>
        </w:tc>
        <w:tc>
          <w:tcPr>
            <w:tcW w:w="99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5C06C8" w:rsidRDefault="005C06C8">
      <w:pPr>
        <w:rPr>
          <w:sz w:val="18"/>
          <w:szCs w:val="18"/>
        </w:rPr>
      </w:pPr>
    </w:p>
    <w:p w:rsidR="007A574D" w:rsidRDefault="007A574D">
      <w:pPr>
        <w:rPr>
          <w:sz w:val="18"/>
          <w:szCs w:val="18"/>
        </w:rPr>
      </w:pPr>
    </w:p>
    <w:p w:rsidR="009D49C6" w:rsidRPr="009D49C6" w:rsidRDefault="009D49C6">
      <w:pPr>
        <w:rPr>
          <w:sz w:val="18"/>
          <w:szCs w:val="18"/>
        </w:rPr>
      </w:pPr>
      <w:bookmarkStart w:id="0" w:name="_GoBack"/>
      <w:bookmarkEnd w:id="0"/>
    </w:p>
    <w:sectPr w:rsidR="009D49C6" w:rsidRPr="009D49C6" w:rsidSect="0024240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7B"/>
    <w:rsid w:val="00004C60"/>
    <w:rsid w:val="0003706E"/>
    <w:rsid w:val="00050AE5"/>
    <w:rsid w:val="00056FA5"/>
    <w:rsid w:val="0006364D"/>
    <w:rsid w:val="00077F7A"/>
    <w:rsid w:val="000A2E83"/>
    <w:rsid w:val="000D4AA8"/>
    <w:rsid w:val="000E0B81"/>
    <w:rsid w:val="00121DD5"/>
    <w:rsid w:val="0015628E"/>
    <w:rsid w:val="0016209B"/>
    <w:rsid w:val="00183D89"/>
    <w:rsid w:val="0018629D"/>
    <w:rsid w:val="00190FE6"/>
    <w:rsid w:val="00197AAA"/>
    <w:rsid w:val="001A2C79"/>
    <w:rsid w:val="001A6C95"/>
    <w:rsid w:val="001B5919"/>
    <w:rsid w:val="001E0E7B"/>
    <w:rsid w:val="002022E5"/>
    <w:rsid w:val="00242408"/>
    <w:rsid w:val="002514A5"/>
    <w:rsid w:val="0028777B"/>
    <w:rsid w:val="002B3906"/>
    <w:rsid w:val="002F4D61"/>
    <w:rsid w:val="00355812"/>
    <w:rsid w:val="00360BCC"/>
    <w:rsid w:val="00372E9F"/>
    <w:rsid w:val="0038227D"/>
    <w:rsid w:val="003B7D30"/>
    <w:rsid w:val="004026CB"/>
    <w:rsid w:val="00436352"/>
    <w:rsid w:val="004417AB"/>
    <w:rsid w:val="00487B31"/>
    <w:rsid w:val="004A3D10"/>
    <w:rsid w:val="004C03E2"/>
    <w:rsid w:val="004C24F4"/>
    <w:rsid w:val="00523F4F"/>
    <w:rsid w:val="00563B1C"/>
    <w:rsid w:val="005842F1"/>
    <w:rsid w:val="005B0443"/>
    <w:rsid w:val="005C06C8"/>
    <w:rsid w:val="005C236E"/>
    <w:rsid w:val="005C3B3D"/>
    <w:rsid w:val="005D3A20"/>
    <w:rsid w:val="006005FE"/>
    <w:rsid w:val="00602B35"/>
    <w:rsid w:val="00617883"/>
    <w:rsid w:val="006338B5"/>
    <w:rsid w:val="006428A6"/>
    <w:rsid w:val="006638DE"/>
    <w:rsid w:val="00683981"/>
    <w:rsid w:val="006D1156"/>
    <w:rsid w:val="006F696C"/>
    <w:rsid w:val="00756C36"/>
    <w:rsid w:val="00783176"/>
    <w:rsid w:val="007A574D"/>
    <w:rsid w:val="007C137E"/>
    <w:rsid w:val="007D273E"/>
    <w:rsid w:val="00812564"/>
    <w:rsid w:val="00860F03"/>
    <w:rsid w:val="0086355F"/>
    <w:rsid w:val="008B152D"/>
    <w:rsid w:val="008C701B"/>
    <w:rsid w:val="008E4F3C"/>
    <w:rsid w:val="008F0314"/>
    <w:rsid w:val="008F5487"/>
    <w:rsid w:val="009B26C6"/>
    <w:rsid w:val="009D49C6"/>
    <w:rsid w:val="009E17A4"/>
    <w:rsid w:val="009F5C1B"/>
    <w:rsid w:val="00A131A8"/>
    <w:rsid w:val="00A20DCF"/>
    <w:rsid w:val="00AD6CDC"/>
    <w:rsid w:val="00B0666C"/>
    <w:rsid w:val="00B164CC"/>
    <w:rsid w:val="00B44D70"/>
    <w:rsid w:val="00B554A0"/>
    <w:rsid w:val="00BC1586"/>
    <w:rsid w:val="00BD3C20"/>
    <w:rsid w:val="00C33083"/>
    <w:rsid w:val="00C42B37"/>
    <w:rsid w:val="00C4387E"/>
    <w:rsid w:val="00C53960"/>
    <w:rsid w:val="00CA2F7E"/>
    <w:rsid w:val="00D35851"/>
    <w:rsid w:val="00D71D93"/>
    <w:rsid w:val="00DB4043"/>
    <w:rsid w:val="00DF7908"/>
    <w:rsid w:val="00E44070"/>
    <w:rsid w:val="00E744C1"/>
    <w:rsid w:val="00E8548A"/>
    <w:rsid w:val="00EC12DC"/>
    <w:rsid w:val="00EC28F2"/>
    <w:rsid w:val="00ED7715"/>
    <w:rsid w:val="00EE1D88"/>
    <w:rsid w:val="00EE41E6"/>
    <w:rsid w:val="00F07D9B"/>
    <w:rsid w:val="00F36DE0"/>
    <w:rsid w:val="00F406DB"/>
    <w:rsid w:val="00FD60F9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Морякова Наталья Владимировна</cp:lastModifiedBy>
  <cp:revision>117</cp:revision>
  <dcterms:created xsi:type="dcterms:W3CDTF">2021-05-26T08:05:00Z</dcterms:created>
  <dcterms:modified xsi:type="dcterms:W3CDTF">2023-03-01T02:50:00Z</dcterms:modified>
</cp:coreProperties>
</file>