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D" w:rsidRPr="004919C7" w:rsidRDefault="004919C7" w:rsidP="004919C7">
      <w:pPr>
        <w:ind w:left="510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П</w:t>
      </w:r>
      <w:r w:rsidRPr="004919C7">
        <w:rPr>
          <w:sz w:val="26"/>
          <w:szCs w:val="26"/>
        </w:rPr>
        <w:t>роект</w:t>
      </w:r>
    </w:p>
    <w:p w:rsidR="00DF2CF5" w:rsidRPr="003C6DA3" w:rsidRDefault="00DF2CF5" w:rsidP="001A6F27">
      <w:pPr>
        <w:ind w:left="5103"/>
        <w:rPr>
          <w:sz w:val="26"/>
          <w:szCs w:val="26"/>
        </w:rPr>
      </w:pPr>
    </w:p>
    <w:p w:rsidR="00E07BFD" w:rsidRDefault="00E07BFD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несовершеннолетних»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9D0D29">
        <w:rPr>
          <w:b/>
          <w:spacing w:val="-3"/>
          <w:sz w:val="36"/>
          <w:szCs w:val="36"/>
        </w:rPr>
        <w:t>24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r w:rsidR="006F6401">
        <w:rPr>
          <w:b/>
          <w:spacing w:val="-3"/>
          <w:sz w:val="36"/>
          <w:szCs w:val="36"/>
        </w:rPr>
        <w:t xml:space="preserve">на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9D0D29">
        <w:rPr>
          <w:b/>
          <w:spacing w:val="-3"/>
          <w:sz w:val="36"/>
          <w:szCs w:val="36"/>
        </w:rPr>
        <w:t>25</w:t>
      </w:r>
      <w:r w:rsidR="006F6401">
        <w:rPr>
          <w:b/>
          <w:spacing w:val="-3"/>
          <w:sz w:val="36"/>
          <w:szCs w:val="36"/>
        </w:rPr>
        <w:t xml:space="preserve"> и </w:t>
      </w:r>
      <w:r w:rsidR="009D0D29">
        <w:rPr>
          <w:b/>
          <w:spacing w:val="-3"/>
          <w:sz w:val="36"/>
          <w:szCs w:val="36"/>
        </w:rPr>
        <w:t>2026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694880" w:rsidRPr="00B147D5" w:rsidRDefault="00B147D5" w:rsidP="00B147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47D5">
        <w:rPr>
          <w:rFonts w:eastAsia="Calibri"/>
          <w:sz w:val="28"/>
          <w:szCs w:val="28"/>
          <w:lang w:eastAsia="en-US"/>
        </w:rPr>
        <w:t>2023 г.</w:t>
      </w:r>
    </w:p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43371B" w:rsidRPr="003C6DA3" w:rsidTr="0043371B">
        <w:tc>
          <w:tcPr>
            <w:tcW w:w="4548" w:type="dxa"/>
          </w:tcPr>
          <w:p w:rsidR="0043371B" w:rsidRPr="003C6DA3" w:rsidRDefault="00291C75" w:rsidP="00502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br w:type="page"/>
            </w:r>
            <w:r w:rsidR="0043371B" w:rsidRPr="003C6DA3">
              <w:br w:type="page"/>
            </w:r>
          </w:p>
        </w:tc>
      </w:tr>
    </w:tbl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7849E2" w:rsidRDefault="00B91C32" w:rsidP="00E07BFD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правонарушений несовершеннолетних»</w:t>
      </w:r>
    </w:p>
    <w:p w:rsidR="00E07BFD" w:rsidRPr="007849E2" w:rsidRDefault="00E07BFD" w:rsidP="00E07BFD">
      <w:pPr>
        <w:jc w:val="center"/>
        <w:rPr>
          <w:b/>
          <w:spacing w:val="-3"/>
          <w:sz w:val="26"/>
          <w:szCs w:val="26"/>
        </w:rPr>
      </w:pPr>
      <w:r w:rsidRPr="007849E2">
        <w:rPr>
          <w:b/>
          <w:sz w:val="26"/>
          <w:szCs w:val="26"/>
        </w:rPr>
        <w:t xml:space="preserve">на </w:t>
      </w:r>
      <w:r w:rsidR="009D0D29">
        <w:rPr>
          <w:b/>
          <w:spacing w:val="-3"/>
          <w:sz w:val="26"/>
          <w:szCs w:val="26"/>
        </w:rPr>
        <w:t>2024</w:t>
      </w:r>
      <w:r w:rsidRPr="007849E2">
        <w:rPr>
          <w:b/>
          <w:spacing w:val="-3"/>
          <w:sz w:val="26"/>
          <w:szCs w:val="26"/>
        </w:rPr>
        <w:t xml:space="preserve"> год и </w:t>
      </w:r>
      <w:r w:rsidR="006F6401" w:rsidRPr="007849E2">
        <w:rPr>
          <w:b/>
          <w:spacing w:val="-3"/>
          <w:sz w:val="26"/>
          <w:szCs w:val="26"/>
        </w:rPr>
        <w:t xml:space="preserve">на </w:t>
      </w:r>
      <w:r w:rsidRPr="007849E2">
        <w:rPr>
          <w:b/>
          <w:spacing w:val="-3"/>
          <w:sz w:val="26"/>
          <w:szCs w:val="26"/>
        </w:rPr>
        <w:t>плановый период 20</w:t>
      </w:r>
      <w:r w:rsidR="009D0D29">
        <w:rPr>
          <w:b/>
          <w:spacing w:val="-3"/>
          <w:sz w:val="26"/>
          <w:szCs w:val="26"/>
        </w:rPr>
        <w:t>25</w:t>
      </w:r>
      <w:r w:rsidR="006F6401" w:rsidRPr="007849E2">
        <w:rPr>
          <w:b/>
          <w:spacing w:val="-3"/>
          <w:sz w:val="26"/>
          <w:szCs w:val="26"/>
        </w:rPr>
        <w:t xml:space="preserve"> и </w:t>
      </w:r>
      <w:r w:rsidR="009D0D29">
        <w:rPr>
          <w:b/>
          <w:spacing w:val="-3"/>
          <w:sz w:val="26"/>
          <w:szCs w:val="26"/>
        </w:rPr>
        <w:t>2026</w:t>
      </w:r>
      <w:r w:rsidRPr="007849E2">
        <w:rPr>
          <w:b/>
          <w:spacing w:val="-3"/>
          <w:sz w:val="26"/>
          <w:szCs w:val="26"/>
        </w:rPr>
        <w:t xml:space="preserve"> годов»</w:t>
      </w:r>
    </w:p>
    <w:p w:rsidR="00B91C32" w:rsidRPr="007849E2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34"/>
        <w:gridCol w:w="1968"/>
        <w:gridCol w:w="1655"/>
        <w:gridCol w:w="1655"/>
        <w:gridCol w:w="1791"/>
      </w:tblGrid>
      <w:tr w:rsidR="00B91C32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332C2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7849E2">
              <w:rPr>
                <w:sz w:val="26"/>
                <w:szCs w:val="26"/>
              </w:rPr>
              <w:t xml:space="preserve"> на </w:t>
            </w:r>
            <w:r w:rsidR="009D0D29">
              <w:rPr>
                <w:spacing w:val="-3"/>
                <w:sz w:val="26"/>
                <w:szCs w:val="26"/>
              </w:rPr>
              <w:t>2024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 и </w:t>
            </w:r>
            <w:r w:rsidR="006F6401" w:rsidRPr="007849E2">
              <w:rPr>
                <w:spacing w:val="-3"/>
                <w:sz w:val="26"/>
                <w:szCs w:val="26"/>
              </w:rPr>
              <w:t xml:space="preserve">на </w:t>
            </w:r>
            <w:r w:rsidR="00E07BFD" w:rsidRPr="007849E2">
              <w:rPr>
                <w:spacing w:val="-3"/>
                <w:sz w:val="26"/>
                <w:szCs w:val="26"/>
              </w:rPr>
              <w:t>плановый период 20</w:t>
            </w:r>
            <w:r w:rsidR="009D0D29">
              <w:rPr>
                <w:spacing w:val="-3"/>
                <w:sz w:val="26"/>
                <w:szCs w:val="26"/>
              </w:rPr>
              <w:t>25-2026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годов</w:t>
            </w:r>
            <w:r w:rsidRPr="007849E2">
              <w:rPr>
                <w:sz w:val="26"/>
                <w:szCs w:val="26"/>
              </w:rPr>
              <w:t>»</w:t>
            </w:r>
            <w:r w:rsidR="00EA3C08" w:rsidRPr="007849E2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 xml:space="preserve">(далее </w:t>
            </w:r>
            <w:r w:rsidR="00705896" w:rsidRPr="007849E2">
              <w:rPr>
                <w:sz w:val="26"/>
                <w:szCs w:val="26"/>
              </w:rPr>
              <w:t>–</w:t>
            </w:r>
            <w:r w:rsidRPr="007849E2">
              <w:rPr>
                <w:sz w:val="26"/>
                <w:szCs w:val="26"/>
              </w:rPr>
              <w:t xml:space="preserve"> Программа) </w:t>
            </w:r>
          </w:p>
        </w:tc>
      </w:tr>
      <w:tr w:rsidR="00705896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332C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91C32" w:rsidRPr="007849E2" w:rsidTr="0050773F">
        <w:trPr>
          <w:trHeight w:val="696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224C0E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(координатор)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7849E2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Главный специалист комиссии </w:t>
            </w:r>
            <w:r w:rsidR="006F6401" w:rsidRPr="007849E2">
              <w:rPr>
                <w:sz w:val="26"/>
                <w:szCs w:val="26"/>
              </w:rPr>
              <w:t>по делам несовершеннолетних и за</w:t>
            </w:r>
            <w:r w:rsidRPr="007849E2">
              <w:rPr>
                <w:sz w:val="26"/>
                <w:szCs w:val="26"/>
              </w:rPr>
              <w:t>щите их прав</w:t>
            </w:r>
          </w:p>
          <w:p w:rsidR="00B91C32" w:rsidRPr="007849E2" w:rsidRDefault="00A05C13" w:rsidP="00A05C13">
            <w:pPr>
              <w:tabs>
                <w:tab w:val="left" w:pos="5025"/>
              </w:tabs>
              <w:outlineLvl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ab/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-Управление культуры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жной политики и спорта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 </w:t>
            </w:r>
          </w:p>
          <w:p w:rsidR="00156EFB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-ОП «Сельский» Межмуниципального отдела МВД России «Юргинский» (по согласованию)</w:t>
            </w:r>
          </w:p>
          <w:p w:rsidR="009D0D29" w:rsidRPr="009D0D29" w:rsidRDefault="009D0D29" w:rsidP="000426F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0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0D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Кузбасское ЛУ МВД России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программой </w:t>
            </w:r>
            <w:r w:rsidR="00156EF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</w:t>
            </w:r>
            <w:r w:rsidR="00907B36" w:rsidRPr="007849E2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7849E2" w:rsidTr="0050773F">
        <w:trPr>
          <w:trHeight w:val="1167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 w:rsidRPr="007849E2">
              <w:rPr>
                <w:sz w:val="26"/>
                <w:szCs w:val="26"/>
              </w:rPr>
              <w:lastRenderedPageBreak/>
              <w:t>условий, способствующих этому;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907B36" w:rsidRPr="007849E2">
              <w:rPr>
                <w:sz w:val="26"/>
                <w:szCs w:val="26"/>
              </w:rPr>
              <w:t>есовершеннолетних в употребление</w:t>
            </w:r>
            <w:r w:rsidRPr="007849E2">
              <w:rPr>
                <w:sz w:val="26"/>
                <w:szCs w:val="26"/>
              </w:rPr>
              <w:t xml:space="preserve"> алкогольной продукции и употр</w:t>
            </w:r>
            <w:r w:rsidR="00907B36" w:rsidRPr="007849E2">
              <w:rPr>
                <w:sz w:val="26"/>
                <w:szCs w:val="26"/>
              </w:rPr>
              <w:t>ебление</w:t>
            </w:r>
            <w:r w:rsidRPr="007849E2">
              <w:rPr>
                <w:sz w:val="26"/>
                <w:szCs w:val="26"/>
              </w:rPr>
              <w:t xml:space="preserve"> наркотических средств;</w:t>
            </w:r>
          </w:p>
          <w:p w:rsidR="008F58E0" w:rsidRPr="007849E2" w:rsidRDefault="008F58E0" w:rsidP="00A872DB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</w:t>
            </w:r>
            <w:r w:rsidR="000426FA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 xml:space="preserve"> направленных на снижение гибели несовершеннолетних от внешних причин;</w:t>
            </w:r>
          </w:p>
          <w:p w:rsidR="008F58E0" w:rsidRPr="007849E2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7849E2" w:rsidTr="0050773F">
        <w:trPr>
          <w:trHeight w:val="555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роки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Разделение Программы на этапы не предусматривается.</w:t>
            </w:r>
          </w:p>
          <w:p w:rsidR="000426FA" w:rsidRPr="000426FA" w:rsidRDefault="000426FA" w:rsidP="000426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26FA">
              <w:rPr>
                <w:sz w:val="26"/>
                <w:szCs w:val="26"/>
              </w:rPr>
              <w:t>Начало 01.01.2024г.</w:t>
            </w:r>
          </w:p>
          <w:p w:rsidR="008F58E0" w:rsidRPr="007849E2" w:rsidRDefault="000426FA" w:rsidP="000426F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6FA">
              <w:rPr>
                <w:rFonts w:ascii="Times New Roman" w:hAnsi="Times New Roman" w:cs="Times New Roman"/>
                <w:sz w:val="26"/>
                <w:szCs w:val="26"/>
              </w:rPr>
              <w:t>Окончание 31.12.2026г.</w:t>
            </w:r>
          </w:p>
        </w:tc>
      </w:tr>
      <w:tr w:rsidR="0050773F" w:rsidRPr="0050773F" w:rsidTr="0050773F">
        <w:trPr>
          <w:trHeight w:val="331"/>
        </w:trPr>
        <w:tc>
          <w:tcPr>
            <w:tcW w:w="23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«Ресурсное обеспечение программы</w:t>
            </w:r>
          </w:p>
        </w:tc>
        <w:tc>
          <w:tcPr>
            <w:tcW w:w="262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Расходы (тыс. рублей)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773F" w:rsidRPr="0050773F" w:rsidTr="0050773F">
        <w:trPr>
          <w:trHeight w:val="237"/>
        </w:trPr>
        <w:tc>
          <w:tcPr>
            <w:tcW w:w="237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Очередной финансовый год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1-й год планового периода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2-й год планового периода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2026</w:t>
            </w:r>
          </w:p>
        </w:tc>
      </w:tr>
      <w:tr w:rsidR="0050773F" w:rsidRPr="0050773F" w:rsidTr="0050773F">
        <w:trPr>
          <w:trHeight w:val="237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</w:t>
            </w:r>
            <w:r w:rsidR="000426FA" w:rsidRPr="0050773F">
              <w:rPr>
                <w:sz w:val="26"/>
                <w:szCs w:val="26"/>
              </w:rPr>
              <w:t>498</w:t>
            </w:r>
            <w:r w:rsidRPr="0050773F">
              <w:rPr>
                <w:sz w:val="26"/>
                <w:szCs w:val="26"/>
              </w:rPr>
              <w:t>,90)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(498,90)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(0)</w:t>
            </w:r>
          </w:p>
        </w:tc>
      </w:tr>
      <w:tr w:rsidR="0050773F" w:rsidRPr="0050773F" w:rsidTr="0050773F">
        <w:trPr>
          <w:trHeight w:val="748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6FA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 xml:space="preserve">134,00 </w:t>
            </w:r>
          </w:p>
          <w:p w:rsidR="0050773F" w:rsidRPr="0050773F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</w:t>
            </w:r>
            <w:r w:rsidR="000426FA">
              <w:rPr>
                <w:i/>
                <w:sz w:val="26"/>
                <w:szCs w:val="26"/>
              </w:rPr>
              <w:t>0</w:t>
            </w:r>
            <w:r w:rsidRPr="0050773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134,00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134,00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</w:tr>
      <w:tr w:rsidR="0050773F" w:rsidRPr="0050773F" w:rsidTr="0050773F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 (498,90)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jc w:val="center"/>
              <w:rPr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 (498,90)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6FA" w:rsidRDefault="0050773F" w:rsidP="000426FA">
            <w:pPr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</w:t>
            </w:r>
          </w:p>
          <w:p w:rsidR="0050773F" w:rsidRPr="0050773F" w:rsidRDefault="0050773F" w:rsidP="000426FA">
            <w:pPr>
              <w:jc w:val="center"/>
              <w:rPr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 xml:space="preserve"> (0)</w:t>
            </w:r>
          </w:p>
        </w:tc>
      </w:tr>
      <w:tr w:rsidR="0050773F" w:rsidRPr="0050773F" w:rsidTr="0050773F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</w:tr>
      <w:tr w:rsidR="002E6805" w:rsidRPr="007849E2" w:rsidTr="0050773F">
        <w:trPr>
          <w:trHeight w:val="301"/>
        </w:trPr>
        <w:tc>
          <w:tcPr>
            <w:tcW w:w="10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7849E2" w:rsidRDefault="002E6805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,е</w:t>
            </w:r>
            <w:proofErr w:type="gram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д. измерения</w:t>
            </w: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7849E2">
              <w:rPr>
                <w:sz w:val="26"/>
                <w:szCs w:val="26"/>
              </w:rPr>
              <w:t>.</w:t>
            </w:r>
          </w:p>
          <w:p w:rsidR="00CC3717" w:rsidRPr="007849E2" w:rsidRDefault="00E55A66" w:rsidP="00CC3717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</w:t>
            </w:r>
            <w:r w:rsidR="00CC3717" w:rsidRPr="007849E2">
              <w:rPr>
                <w:sz w:val="26"/>
                <w:szCs w:val="26"/>
              </w:rPr>
              <w:t>ократить количество несовершеннолетних вовлеченных в совершение преступле</w:t>
            </w:r>
            <w:r w:rsidRPr="007849E2">
              <w:rPr>
                <w:sz w:val="26"/>
                <w:szCs w:val="26"/>
              </w:rPr>
              <w:t>ний и антиобщественные действия (человек).</w:t>
            </w:r>
          </w:p>
          <w:p w:rsidR="002E6805" w:rsidRPr="007849E2" w:rsidRDefault="00E55A66" w:rsidP="00E55A66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</w:t>
            </w:r>
            <w:r w:rsidR="00CC3717" w:rsidRPr="007849E2">
              <w:rPr>
                <w:sz w:val="26"/>
                <w:szCs w:val="26"/>
              </w:rPr>
              <w:t>ократить вовлечения несовершеннолетни</w:t>
            </w:r>
            <w:r w:rsidR="00907B36" w:rsidRPr="007849E2">
              <w:rPr>
                <w:sz w:val="26"/>
                <w:szCs w:val="26"/>
              </w:rPr>
              <w:t>х в употребление</w:t>
            </w:r>
            <w:r w:rsidR="00CC3717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907B36" w:rsidRPr="007849E2">
              <w:rPr>
                <w:sz w:val="26"/>
                <w:szCs w:val="26"/>
              </w:rPr>
              <w:t>требление</w:t>
            </w:r>
            <w:r w:rsidRPr="007849E2">
              <w:rPr>
                <w:sz w:val="26"/>
                <w:szCs w:val="26"/>
              </w:rPr>
              <w:t xml:space="preserve"> наркотических средств (человек).</w:t>
            </w:r>
          </w:p>
        </w:tc>
      </w:tr>
    </w:tbl>
    <w:p w:rsidR="00B91C32" w:rsidRPr="007849E2" w:rsidRDefault="00B91C32" w:rsidP="00B91C32">
      <w:pPr>
        <w:rPr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0773F" w:rsidRDefault="0050773F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03C9" w:rsidRPr="007849E2" w:rsidRDefault="00FE03C9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1. Характерист</w:t>
      </w:r>
      <w:r w:rsidR="00AA2CB1" w:rsidRPr="007849E2">
        <w:rPr>
          <w:b/>
          <w:sz w:val="26"/>
          <w:szCs w:val="26"/>
        </w:rPr>
        <w:t>ика сферы реализации программы.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tabs>
          <w:tab w:val="left" w:pos="540"/>
        </w:tabs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             По статистическим данным на территории Юргинского </w:t>
      </w:r>
      <w:r w:rsidR="00332C24" w:rsidRPr="007849E2">
        <w:rPr>
          <w:sz w:val="26"/>
          <w:szCs w:val="26"/>
        </w:rPr>
        <w:t xml:space="preserve">муниципального </w:t>
      </w:r>
      <w:r w:rsidR="00907B36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зарегистрировано </w:t>
      </w:r>
      <w:r w:rsidR="00564627" w:rsidRPr="007849E2">
        <w:rPr>
          <w:sz w:val="26"/>
          <w:szCs w:val="26"/>
        </w:rPr>
        <w:t>4660</w:t>
      </w:r>
      <w:r w:rsidRPr="007849E2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7849E2">
        <w:rPr>
          <w:sz w:val="26"/>
          <w:szCs w:val="26"/>
        </w:rPr>
        <w:t>шеннолетних детей</w:t>
      </w:r>
      <w:r w:rsidR="002F645E" w:rsidRPr="007849E2">
        <w:rPr>
          <w:sz w:val="26"/>
          <w:szCs w:val="26"/>
        </w:rPr>
        <w:t xml:space="preserve">. На </w:t>
      </w:r>
      <w:r w:rsidR="0050773F">
        <w:rPr>
          <w:sz w:val="26"/>
          <w:szCs w:val="26"/>
        </w:rPr>
        <w:t>11.09.2023</w:t>
      </w:r>
      <w:r w:rsidRPr="007849E2">
        <w:rPr>
          <w:sz w:val="26"/>
          <w:szCs w:val="26"/>
        </w:rPr>
        <w:t xml:space="preserve">г. в Юргинском </w:t>
      </w:r>
      <w:r w:rsidR="00332C24" w:rsidRPr="007849E2">
        <w:rPr>
          <w:sz w:val="26"/>
          <w:szCs w:val="26"/>
        </w:rPr>
        <w:t xml:space="preserve">муниципальном </w:t>
      </w:r>
      <w:r w:rsidR="00C7349A" w:rsidRPr="007849E2">
        <w:rPr>
          <w:sz w:val="26"/>
          <w:szCs w:val="26"/>
        </w:rPr>
        <w:t>округе</w:t>
      </w:r>
      <w:r w:rsidR="00907B36" w:rsidRPr="007849E2">
        <w:rPr>
          <w:sz w:val="26"/>
          <w:szCs w:val="26"/>
        </w:rPr>
        <w:t xml:space="preserve"> выявлено и зарегистрировано</w:t>
      </w:r>
      <w:r w:rsidRPr="007849E2">
        <w:rPr>
          <w:sz w:val="26"/>
          <w:szCs w:val="26"/>
        </w:rPr>
        <w:t xml:space="preserve"> в </w:t>
      </w:r>
      <w:r w:rsidR="00907B36" w:rsidRPr="007849E2">
        <w:rPr>
          <w:sz w:val="26"/>
          <w:szCs w:val="26"/>
        </w:rPr>
        <w:t>банке данных</w:t>
      </w:r>
      <w:r w:rsidRPr="007849E2">
        <w:rPr>
          <w:sz w:val="26"/>
          <w:szCs w:val="26"/>
        </w:rPr>
        <w:t xml:space="preserve"> </w:t>
      </w:r>
      <w:r w:rsidR="0050773F">
        <w:rPr>
          <w:sz w:val="26"/>
          <w:szCs w:val="26"/>
        </w:rPr>
        <w:t>44 семьи</w:t>
      </w:r>
      <w:r w:rsidR="00907B36" w:rsidRPr="007849E2">
        <w:rPr>
          <w:sz w:val="26"/>
          <w:szCs w:val="26"/>
        </w:rPr>
        <w:t>,</w:t>
      </w:r>
      <w:r w:rsidRPr="007849E2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50773F">
        <w:rPr>
          <w:sz w:val="26"/>
          <w:szCs w:val="26"/>
        </w:rPr>
        <w:t>122</w:t>
      </w:r>
      <w:r w:rsidR="00332C24"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ребенка</w:t>
      </w:r>
      <w:r w:rsidR="007731C3" w:rsidRPr="007849E2">
        <w:rPr>
          <w:sz w:val="26"/>
          <w:szCs w:val="26"/>
        </w:rPr>
        <w:t>.</w:t>
      </w:r>
      <w:r w:rsidR="00332C24" w:rsidRPr="007849E2">
        <w:rPr>
          <w:sz w:val="26"/>
          <w:szCs w:val="26"/>
        </w:rPr>
        <w:t xml:space="preserve"> </w:t>
      </w:r>
      <w:r w:rsidRPr="007849E2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состои</w:t>
      </w:r>
      <w:r w:rsidR="00C7349A" w:rsidRPr="007849E2">
        <w:rPr>
          <w:sz w:val="26"/>
          <w:szCs w:val="26"/>
        </w:rPr>
        <w:t xml:space="preserve">т </w:t>
      </w:r>
      <w:r w:rsidR="0050773F">
        <w:rPr>
          <w:sz w:val="26"/>
          <w:szCs w:val="26"/>
        </w:rPr>
        <w:t>27</w:t>
      </w:r>
      <w:r w:rsidRPr="007849E2">
        <w:rPr>
          <w:sz w:val="26"/>
          <w:szCs w:val="26"/>
        </w:rPr>
        <w:t xml:space="preserve"> несовершеннолетних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sz w:val="26"/>
          <w:szCs w:val="26"/>
        </w:rPr>
        <w:tab/>
        <w:t xml:space="preserve">     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2. Цель и задачи </w:t>
      </w:r>
      <w:r w:rsidR="00AA2CB1" w:rsidRPr="007849E2">
        <w:rPr>
          <w:b/>
          <w:sz w:val="26"/>
          <w:szCs w:val="26"/>
        </w:rPr>
        <w:t xml:space="preserve">реализации муниципальной </w:t>
      </w:r>
      <w:r w:rsidRPr="007849E2">
        <w:rPr>
          <w:b/>
          <w:sz w:val="26"/>
          <w:szCs w:val="26"/>
        </w:rPr>
        <w:t>программы</w:t>
      </w:r>
      <w:r w:rsidR="00AA2CB1" w:rsidRPr="007849E2">
        <w:rPr>
          <w:b/>
          <w:sz w:val="26"/>
          <w:szCs w:val="26"/>
        </w:rPr>
        <w:t>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b/>
          <w:sz w:val="26"/>
          <w:szCs w:val="26"/>
        </w:rPr>
        <w:tab/>
      </w:r>
      <w:r w:rsidRPr="007849E2">
        <w:rPr>
          <w:b/>
          <w:i/>
          <w:sz w:val="26"/>
          <w:szCs w:val="26"/>
        </w:rPr>
        <w:t xml:space="preserve">Цель  </w:t>
      </w:r>
      <w:r w:rsidRPr="007849E2">
        <w:rPr>
          <w:sz w:val="26"/>
          <w:szCs w:val="26"/>
        </w:rPr>
        <w:t>П</w:t>
      </w:r>
      <w:r w:rsidR="00FC306F" w:rsidRPr="007849E2">
        <w:rPr>
          <w:sz w:val="26"/>
          <w:szCs w:val="26"/>
        </w:rPr>
        <w:t xml:space="preserve">рограммы – </w:t>
      </w:r>
      <w:r w:rsidRPr="007849E2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7849E2" w:rsidRDefault="00B91C32" w:rsidP="00B91C32">
      <w:pPr>
        <w:ind w:firstLine="708"/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В соответствии с целью определены следующие </w:t>
      </w:r>
      <w:r w:rsidRPr="007849E2">
        <w:rPr>
          <w:b/>
          <w:i/>
          <w:sz w:val="26"/>
          <w:szCs w:val="26"/>
        </w:rPr>
        <w:t>задачи</w:t>
      </w:r>
      <w:r w:rsidR="00332C24" w:rsidRPr="007849E2">
        <w:rPr>
          <w:b/>
          <w:i/>
          <w:sz w:val="26"/>
          <w:szCs w:val="26"/>
        </w:rPr>
        <w:t xml:space="preserve"> </w:t>
      </w:r>
      <w:r w:rsidRPr="007849E2">
        <w:rPr>
          <w:sz w:val="26"/>
          <w:szCs w:val="26"/>
        </w:rPr>
        <w:t>Программы</w:t>
      </w:r>
      <w:r w:rsidR="00C7349A" w:rsidRPr="007849E2">
        <w:rPr>
          <w:sz w:val="26"/>
          <w:szCs w:val="26"/>
        </w:rPr>
        <w:t>: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реализация мероприятий направленных на снижение гибели несовершеннолетних от внешних причин;</w:t>
      </w:r>
    </w:p>
    <w:p w:rsidR="00396026" w:rsidRPr="007849E2" w:rsidRDefault="00396026" w:rsidP="0039602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7849E2">
        <w:rPr>
          <w:rFonts w:ascii="Times New Roman" w:hAnsi="Times New Roman" w:cs="Times New Roman"/>
          <w:sz w:val="26"/>
          <w:szCs w:val="26"/>
        </w:rPr>
        <w:lastRenderedPageBreak/>
        <w:t>максимальный охват отдыхом, оздоровлением и летней трудовой занятостью</w:t>
      </w:r>
    </w:p>
    <w:p w:rsidR="00B91C32" w:rsidRPr="007849E2" w:rsidRDefault="00B91C32" w:rsidP="00B91C32">
      <w:pPr>
        <w:rPr>
          <w:sz w:val="26"/>
          <w:szCs w:val="26"/>
        </w:rPr>
      </w:pPr>
    </w:p>
    <w:p w:rsidR="00E55A66" w:rsidRPr="007849E2" w:rsidRDefault="007830B2" w:rsidP="00EE4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567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3 Перечень </w:t>
      </w:r>
      <w:r w:rsidR="00BF4391" w:rsidRPr="007849E2">
        <w:rPr>
          <w:b/>
          <w:sz w:val="26"/>
          <w:szCs w:val="26"/>
        </w:rPr>
        <w:t>п</w:t>
      </w:r>
      <w:r w:rsidR="008F6364" w:rsidRPr="007849E2">
        <w:rPr>
          <w:b/>
          <w:sz w:val="26"/>
          <w:szCs w:val="26"/>
        </w:rPr>
        <w:t>одп</w:t>
      </w:r>
      <w:r w:rsidR="00BF4391" w:rsidRPr="007849E2">
        <w:rPr>
          <w:b/>
          <w:sz w:val="26"/>
          <w:szCs w:val="26"/>
        </w:rPr>
        <w:t>рограмм</w:t>
      </w:r>
      <w:r w:rsidR="005C6DC2" w:rsidRPr="007849E2">
        <w:rPr>
          <w:b/>
          <w:sz w:val="26"/>
          <w:szCs w:val="26"/>
        </w:rPr>
        <w:t xml:space="preserve"> </w:t>
      </w:r>
      <w:r w:rsidR="00BF4391" w:rsidRPr="007849E2">
        <w:rPr>
          <w:b/>
          <w:sz w:val="26"/>
          <w:szCs w:val="26"/>
        </w:rPr>
        <w:t>муниципальной программы.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7849E2">
        <w:rPr>
          <w:sz w:val="26"/>
          <w:szCs w:val="26"/>
        </w:rPr>
        <w:t>Программой наличие подпрограмм не предусмотрено.</w:t>
      </w:r>
      <w:r w:rsidR="00BF4391" w:rsidRPr="007849E2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4334"/>
      </w:tblGrid>
      <w:tr w:rsidR="00E55A66" w:rsidRPr="007849E2" w:rsidTr="00186DD6">
        <w:tc>
          <w:tcPr>
            <w:tcW w:w="5529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 xml:space="preserve">Наименование цели, показателя, 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задачи, мероприятия</w:t>
            </w:r>
          </w:p>
        </w:tc>
        <w:tc>
          <w:tcPr>
            <w:tcW w:w="4536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E55A66" w:rsidRPr="007849E2" w:rsidTr="00186DD6">
        <w:tc>
          <w:tcPr>
            <w:tcW w:w="5529" w:type="dxa"/>
          </w:tcPr>
          <w:p w:rsidR="00E55A66" w:rsidRPr="007849E2" w:rsidRDefault="00E55A66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4536" w:type="dxa"/>
          </w:tcPr>
          <w:p w:rsidR="00E55A66" w:rsidRPr="007849E2" w:rsidRDefault="00E55A66" w:rsidP="007849E2">
            <w:pPr>
              <w:pStyle w:val="Default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Мероприятия по профилактике преступлений и правонарушений несовершеннолетними.</w:t>
            </w:r>
          </w:p>
          <w:p w:rsidR="00E55A66" w:rsidRPr="007849E2" w:rsidRDefault="00E55A66" w:rsidP="007849E2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Перечень целевых показателей (индикаторов),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>ед. измерения:</w:t>
            </w:r>
          </w:p>
          <w:p w:rsidR="00FE2DE9" w:rsidRPr="007849E2" w:rsidRDefault="00FE2DE9" w:rsidP="00AC17F4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FE2DE9" w:rsidRPr="007849E2" w:rsidRDefault="00FE2DE9" w:rsidP="00AC17F4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7849E2" w:rsidRDefault="00FE2DE9" w:rsidP="00AC17F4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7849E2" w:rsidRDefault="00FE2DE9" w:rsidP="00AC17F4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4536" w:type="dxa"/>
          </w:tcPr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BF4391" w:rsidRPr="007849E2" w:rsidRDefault="005F794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</w:t>
            </w:r>
            <w:r w:rsidR="00BF4391" w:rsidRPr="007849E2">
              <w:rPr>
                <w:sz w:val="26"/>
                <w:szCs w:val="26"/>
              </w:rPr>
              <w:t>овышение эффективности работы по профилактике безнадзорности и правонарушений несовершеннолетних;</w:t>
            </w:r>
          </w:p>
          <w:p w:rsidR="00BF4391" w:rsidRPr="007849E2" w:rsidRDefault="00BF4391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E2DE9" w:rsidRPr="007849E2" w:rsidRDefault="00FE2DE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="00703D46" w:rsidRPr="007849E2">
              <w:rPr>
                <w:sz w:val="26"/>
                <w:szCs w:val="26"/>
              </w:rPr>
              <w:t>Мероприятия по в</w:t>
            </w:r>
            <w:r w:rsidR="00703D46" w:rsidRPr="007849E2">
              <w:rPr>
                <w:bCs/>
                <w:sz w:val="26"/>
                <w:szCs w:val="26"/>
              </w:rPr>
              <w:t>ыявлению</w:t>
            </w:r>
            <w:r w:rsidRPr="007849E2">
              <w:rPr>
                <w:bCs/>
                <w:sz w:val="26"/>
                <w:szCs w:val="26"/>
              </w:rPr>
              <w:t xml:space="preserve">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</w:t>
            </w:r>
            <w:r w:rsidR="0056000B" w:rsidRPr="007849E2">
              <w:rPr>
                <w:bCs/>
                <w:sz w:val="26"/>
                <w:szCs w:val="26"/>
              </w:rPr>
              <w:t xml:space="preserve"> </w:t>
            </w:r>
            <w:r w:rsidR="0056000B" w:rsidRPr="007849E2">
              <w:rPr>
                <w:sz w:val="26"/>
                <w:szCs w:val="26"/>
              </w:rPr>
              <w:t xml:space="preserve">(управление образования АЮМО, управление культуры, молодежной политики и спорта АЮМО, управление социальной защиты АЮМО, </w:t>
            </w:r>
            <w:r w:rsidR="0056000B" w:rsidRPr="007849E2">
              <w:rPr>
                <w:sz w:val="26"/>
                <w:szCs w:val="26"/>
              </w:rPr>
              <w:lastRenderedPageBreak/>
              <w:t>территориальные управления).</w:t>
            </w:r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взаимодействие, рейдовые мероприятия.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0F46C4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2.</w:t>
            </w:r>
            <w:r w:rsidR="00FE2DE9" w:rsidRPr="007849E2">
              <w:rPr>
                <w:bCs/>
                <w:sz w:val="26"/>
                <w:szCs w:val="26"/>
              </w:rPr>
              <w:t>Проведение рейдов в учреждения</w:t>
            </w:r>
            <w:r w:rsidR="00396026" w:rsidRPr="007849E2">
              <w:rPr>
                <w:bCs/>
                <w:sz w:val="26"/>
                <w:szCs w:val="26"/>
              </w:rPr>
              <w:t>х</w:t>
            </w:r>
            <w:r w:rsidR="00FE2DE9" w:rsidRPr="007849E2">
              <w:rPr>
                <w:bCs/>
                <w:sz w:val="26"/>
                <w:szCs w:val="26"/>
              </w:rPr>
              <w:t xml:space="preserve"> культуры, кафе, в местах скопления подростков в жилом фонде </w:t>
            </w:r>
            <w:r w:rsidR="00396026" w:rsidRPr="007849E2">
              <w:rPr>
                <w:bCs/>
                <w:sz w:val="26"/>
                <w:szCs w:val="26"/>
              </w:rPr>
              <w:t>округа</w:t>
            </w:r>
            <w:r w:rsidR="00036F62" w:rsidRPr="007849E2">
              <w:rPr>
                <w:bCs/>
                <w:sz w:val="26"/>
                <w:szCs w:val="26"/>
              </w:rPr>
              <w:t xml:space="preserve"> (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4536" w:type="dxa"/>
          </w:tcPr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Рейдовые мероприятия.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органов системы профилактики</w:t>
            </w: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Проведение координационных совещаний, «круглых столов» по вопрос</w:t>
            </w:r>
            <w:r w:rsidR="007849E2">
              <w:rPr>
                <w:bCs/>
                <w:sz w:val="26"/>
                <w:szCs w:val="26"/>
              </w:rPr>
              <w:t>ам профилактики безнадзорности</w:t>
            </w:r>
            <w:r w:rsidR="00AC17F4">
              <w:rPr>
                <w:bCs/>
                <w:sz w:val="26"/>
                <w:szCs w:val="26"/>
              </w:rPr>
              <w:t>,</w:t>
            </w:r>
            <w:r w:rsidR="006728C0">
              <w:rPr>
                <w:bCs/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беспризорности,</w:t>
            </w:r>
            <w:r w:rsidR="00AC17F4">
              <w:rPr>
                <w:bCs/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 xml:space="preserve"> правонарушений, алкоголизма, наркомании совместно со службами системы профилактики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Участие и организация совещаний, «круглых столов».</w:t>
            </w:r>
          </w:p>
        </w:tc>
      </w:tr>
      <w:tr w:rsidR="00EE41C8" w:rsidRPr="007849E2" w:rsidTr="00186DD6">
        <w:tc>
          <w:tcPr>
            <w:tcW w:w="5529" w:type="dxa"/>
          </w:tcPr>
          <w:p w:rsidR="00EE41C8" w:rsidRPr="007849E2" w:rsidRDefault="00EE41C8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EE41C8" w:rsidRPr="007849E2" w:rsidRDefault="00EE41C8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EE41C8" w:rsidRPr="007849E2" w:rsidRDefault="007849E2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1.Проведение</w:t>
            </w:r>
            <w:proofErr w:type="gramStart"/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рофилактических мероприятий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с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несовершеннолетними, склонными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к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бр</w:t>
            </w:r>
            <w:r>
              <w:rPr>
                <w:bCs/>
                <w:sz w:val="26"/>
                <w:szCs w:val="26"/>
              </w:rPr>
              <w:t>одяжничеству, попрошайничеству,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совершению правонарушений (</w:t>
            </w:r>
            <w:r w:rsidR="00EE41C8" w:rsidRPr="007849E2">
              <w:rPr>
                <w:sz w:val="26"/>
                <w:szCs w:val="26"/>
              </w:rPr>
              <w:t>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>,</w:t>
            </w:r>
            <w:r w:rsidR="0050773F">
              <w:rPr>
                <w:bCs/>
                <w:sz w:val="20"/>
                <w:szCs w:val="22"/>
              </w:rPr>
              <w:t xml:space="preserve">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EE41C8" w:rsidRPr="007849E2">
              <w:rPr>
                <w:sz w:val="26"/>
                <w:szCs w:val="26"/>
              </w:rPr>
              <w:t>).</w:t>
            </w: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</w:t>
            </w:r>
            <w:r w:rsidR="00EE41C8" w:rsidRPr="007849E2">
              <w:rPr>
                <w:b/>
                <w:bCs/>
                <w:sz w:val="26"/>
                <w:szCs w:val="26"/>
              </w:rPr>
              <w:t>я</w:t>
            </w:r>
            <w:r w:rsidRPr="007849E2">
              <w:rPr>
                <w:b/>
                <w:bCs/>
                <w:sz w:val="26"/>
                <w:szCs w:val="26"/>
              </w:rPr>
              <w:t>:</w:t>
            </w:r>
          </w:p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681F57" w:rsidRPr="007849E2">
              <w:rPr>
                <w:bCs/>
                <w:sz w:val="26"/>
                <w:szCs w:val="26"/>
              </w:rPr>
              <w:t xml:space="preserve">.Профилактическая работа с родителями, не исполняющими обязанностей по воспитанию, содержанию и обучению несовершеннолетних </w:t>
            </w:r>
            <w:r w:rsidR="00681F57" w:rsidRPr="007849E2">
              <w:rPr>
                <w:bCs/>
                <w:sz w:val="26"/>
                <w:szCs w:val="26"/>
              </w:rPr>
              <w:lastRenderedPageBreak/>
              <w:t>(</w:t>
            </w:r>
            <w:r w:rsidR="00681F57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«Юргинский»)</w:t>
            </w:r>
          </w:p>
        </w:tc>
        <w:tc>
          <w:tcPr>
            <w:tcW w:w="4536" w:type="dxa"/>
          </w:tcPr>
          <w:p w:rsidR="00681F57" w:rsidRPr="007849E2" w:rsidRDefault="00681F57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социально-опасном положении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EE41C8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</w:t>
            </w:r>
            <w:r w:rsidR="00681F57" w:rsidRPr="007849E2">
              <w:rPr>
                <w:bCs/>
                <w:sz w:val="26"/>
                <w:szCs w:val="26"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7A6A98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849E2">
              <w:rPr>
                <w:sz w:val="26"/>
                <w:szCs w:val="26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849E2">
              <w:rPr>
                <w:bCs/>
                <w:sz w:val="26"/>
                <w:szCs w:val="26"/>
              </w:rPr>
              <w:t xml:space="preserve"> 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 (по согласованию)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036F62" w:rsidRPr="007849E2">
              <w:rPr>
                <w:sz w:val="26"/>
                <w:szCs w:val="26"/>
              </w:rPr>
              <w:t xml:space="preserve"> (</w:t>
            </w:r>
            <w:r w:rsidR="0050773F">
              <w:rPr>
                <w:sz w:val="26"/>
                <w:szCs w:val="26"/>
              </w:rPr>
              <w:t xml:space="preserve">по согласованию), </w:t>
            </w:r>
            <w:r w:rsidR="00036F62" w:rsidRPr="007849E2">
              <w:rPr>
                <w:sz w:val="26"/>
                <w:szCs w:val="26"/>
              </w:rPr>
              <w:t>управление образования АЮМО, управление культуры, молодежной политики и спорта АЮМО, управление социальной защиты АЮМО, территориальные управления, ГБУЗ КО «ЮРБ»).</w:t>
            </w:r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2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849E2">
              <w:rPr>
                <w:bCs/>
                <w:sz w:val="26"/>
                <w:szCs w:val="26"/>
              </w:rPr>
              <w:t>ихические расстройства здоровья (</w:t>
            </w:r>
            <w:r w:rsidR="00036F62" w:rsidRPr="007849E2">
              <w:rPr>
                <w:sz w:val="26"/>
                <w:szCs w:val="26"/>
              </w:rPr>
              <w:t>ГБУЗ КО «ЮРБ»).</w:t>
            </w:r>
          </w:p>
        </w:tc>
        <w:tc>
          <w:tcPr>
            <w:tcW w:w="4536" w:type="dxa"/>
          </w:tcPr>
          <w:p w:rsidR="00FE2DE9" w:rsidRPr="007849E2" w:rsidRDefault="00300EEE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Медицинские осмотры несовершеннолетних.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Мероприятия: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Профилактическая работа с несовершеннолетними, не посещающими образовательные учреждения без уважительной причины, </w:t>
            </w:r>
            <w:r w:rsidR="000F46C4" w:rsidRPr="007849E2">
              <w:rPr>
                <w:bCs/>
                <w:sz w:val="26"/>
                <w:szCs w:val="26"/>
              </w:rPr>
              <w:t>не обучающимися и неработающими (</w:t>
            </w:r>
            <w:r w:rsidR="000F46C4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r w:rsidR="007559B4" w:rsidRPr="007849E2">
              <w:rPr>
                <w:sz w:val="26"/>
                <w:szCs w:val="26"/>
              </w:rPr>
              <w:t>, центр занятости населения г. Юрга</w:t>
            </w:r>
            <w:r w:rsidR="000F46C4" w:rsidRPr="007849E2">
              <w:rPr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7559B4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помощи в организации обучения и трудоустройства.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</w:t>
            </w:r>
            <w:r w:rsidR="00EE41C8" w:rsidRPr="007849E2">
              <w:rPr>
                <w:b/>
                <w:bCs/>
                <w:sz w:val="26"/>
                <w:szCs w:val="26"/>
              </w:rPr>
              <w:t>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>Осуществление контроля за реализацией спиртных напитков и таба</w:t>
            </w:r>
            <w:r w:rsidR="000F46C4" w:rsidRPr="007849E2">
              <w:rPr>
                <w:bCs/>
                <w:sz w:val="26"/>
                <w:szCs w:val="26"/>
              </w:rPr>
              <w:t>чных изделий несовершеннолетним (</w:t>
            </w:r>
            <w:r w:rsidR="000F46C4" w:rsidRPr="007849E2">
              <w:rPr>
                <w:sz w:val="26"/>
                <w:szCs w:val="26"/>
              </w:rPr>
              <w:t>Межмуниципальный отдел МВД России «Юргинский»).</w:t>
            </w:r>
          </w:p>
        </w:tc>
        <w:tc>
          <w:tcPr>
            <w:tcW w:w="4536" w:type="dxa"/>
          </w:tcPr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</w:t>
            </w:r>
            <w:r w:rsidR="000F46C4" w:rsidRPr="007849E2">
              <w:rPr>
                <w:sz w:val="26"/>
                <w:szCs w:val="26"/>
              </w:rPr>
              <w:t>.</w:t>
            </w:r>
            <w:r w:rsidR="00703D46"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396026" w:rsidRPr="007849E2">
              <w:rPr>
                <w:sz w:val="26"/>
                <w:szCs w:val="26"/>
              </w:rPr>
              <w:t>есовершеннолетних в употребление</w:t>
            </w:r>
            <w:r w:rsidR="00703D46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396026" w:rsidRPr="007849E2">
              <w:rPr>
                <w:sz w:val="26"/>
                <w:szCs w:val="26"/>
              </w:rPr>
              <w:t>требление</w:t>
            </w:r>
            <w:r w:rsidR="00CD5D38" w:rsidRPr="007849E2">
              <w:rPr>
                <w:sz w:val="26"/>
                <w:szCs w:val="26"/>
              </w:rPr>
              <w:t xml:space="preserve"> наркотических средств (Межмуниципальный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CD5D38" w:rsidRPr="007849E2">
              <w:rPr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:rsidR="00694880" w:rsidRPr="007849E2" w:rsidRDefault="00694880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A002DA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A002DA" w:rsidRPr="007849E2" w:rsidRDefault="00A002DA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DA" w:rsidRPr="007849E2" w:rsidRDefault="00A002DA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7849E2" w:rsidTr="00186DD6">
        <w:tc>
          <w:tcPr>
            <w:tcW w:w="5529" w:type="dxa"/>
          </w:tcPr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4C3E1F" w:rsidRPr="007849E2" w:rsidRDefault="004C3E1F" w:rsidP="00784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</w:t>
            </w:r>
            <w:r w:rsidR="00F93B6B" w:rsidRPr="007849E2">
              <w:rPr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Участие</w:t>
            </w:r>
            <w:proofErr w:type="gramStart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в</w:t>
            </w:r>
            <w:proofErr w:type="gramEnd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D1216" w:rsidRPr="007849E2">
              <w:rPr>
                <w:bCs/>
                <w:sz w:val="26"/>
                <w:szCs w:val="26"/>
              </w:rPr>
              <w:t>трудоустройстве</w:t>
            </w:r>
            <w:r w:rsidR="00F93B6B" w:rsidRPr="007849E2">
              <w:rPr>
                <w:bCs/>
                <w:sz w:val="26"/>
                <w:szCs w:val="26"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</w:t>
            </w:r>
            <w:r w:rsidR="00F93B6B" w:rsidRPr="007849E2">
              <w:rPr>
                <w:sz w:val="26"/>
                <w:szCs w:val="26"/>
              </w:rPr>
              <w:lastRenderedPageBreak/>
              <w:t xml:space="preserve">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6B" w:rsidRPr="007849E2" w:rsidRDefault="007D1216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Помощь в  оздоровление и трудоустройстве</w:t>
            </w:r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</w:tr>
      <w:tr w:rsidR="00F93B6B" w:rsidRPr="007849E2" w:rsidTr="00186DD6">
        <w:tc>
          <w:tcPr>
            <w:tcW w:w="5529" w:type="dxa"/>
          </w:tcPr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>2</w:t>
            </w:r>
            <w:r w:rsidR="00F93B6B" w:rsidRPr="007849E2">
              <w:rPr>
                <w:sz w:val="26"/>
                <w:szCs w:val="26"/>
              </w:rPr>
              <w:t>.</w:t>
            </w:r>
            <w:r w:rsidR="00F93B6B" w:rsidRPr="007849E2">
              <w:rPr>
                <w:bCs/>
                <w:sz w:val="26"/>
                <w:szCs w:val="26"/>
              </w:rPr>
              <w:t>Помощь в трудоустройстве подростков, оказавшихся в сложной жизненной ситуации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  <w:p w:rsidR="00F93B6B" w:rsidRPr="007849E2" w:rsidRDefault="00F93B6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3B6B" w:rsidRPr="007849E2" w:rsidRDefault="007D1216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Помощь в оздоровлени</w:t>
            </w:r>
            <w:r w:rsidR="006728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и трудоустройстве</w:t>
            </w:r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9E2939" w:rsidRPr="007849E2" w:rsidRDefault="009E2939" w:rsidP="007849E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A83ACE" w:rsidRPr="007849E2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4</w:t>
      </w:r>
      <w:r w:rsidR="009B4A22" w:rsidRPr="007849E2">
        <w:rPr>
          <w:b/>
          <w:sz w:val="26"/>
          <w:szCs w:val="26"/>
        </w:rPr>
        <w:t xml:space="preserve">. </w:t>
      </w:r>
      <w:r w:rsidR="007830B2" w:rsidRPr="007849E2">
        <w:rPr>
          <w:b/>
          <w:sz w:val="26"/>
          <w:szCs w:val="26"/>
        </w:rPr>
        <w:t>Ресурсное</w:t>
      </w:r>
      <w:r w:rsidR="00A83ACE" w:rsidRPr="007849E2">
        <w:rPr>
          <w:b/>
          <w:sz w:val="26"/>
          <w:szCs w:val="26"/>
        </w:rPr>
        <w:t xml:space="preserve"> обеспечение </w:t>
      </w:r>
      <w:r w:rsidR="00E47F19" w:rsidRPr="007849E2">
        <w:rPr>
          <w:b/>
          <w:sz w:val="26"/>
          <w:szCs w:val="26"/>
        </w:rPr>
        <w:t>реализации муниципальной программы</w:t>
      </w:r>
    </w:p>
    <w:p w:rsidR="009B4A22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</w:t>
      </w:r>
      <w:r w:rsidR="004C0A9B" w:rsidRPr="007849E2">
        <w:rPr>
          <w:b/>
          <w:sz w:val="26"/>
          <w:szCs w:val="26"/>
        </w:rPr>
        <w:t>ений несовершеннолетних» на 202</w:t>
      </w:r>
      <w:r w:rsidR="00A66064">
        <w:rPr>
          <w:b/>
          <w:sz w:val="26"/>
          <w:szCs w:val="26"/>
        </w:rPr>
        <w:t>4</w:t>
      </w:r>
      <w:r w:rsidRPr="007849E2">
        <w:rPr>
          <w:b/>
          <w:sz w:val="26"/>
          <w:szCs w:val="26"/>
        </w:rPr>
        <w:t xml:space="preserve"> год и плановый </w:t>
      </w:r>
      <w:r w:rsidR="004C0A9B" w:rsidRPr="007849E2">
        <w:rPr>
          <w:b/>
          <w:sz w:val="26"/>
          <w:szCs w:val="26"/>
        </w:rPr>
        <w:t>период 202</w:t>
      </w:r>
      <w:r w:rsidR="00A66064">
        <w:rPr>
          <w:b/>
          <w:sz w:val="26"/>
          <w:szCs w:val="26"/>
        </w:rPr>
        <w:t>5</w:t>
      </w:r>
      <w:r w:rsidR="004C0A9B" w:rsidRPr="007849E2">
        <w:rPr>
          <w:b/>
          <w:sz w:val="26"/>
          <w:szCs w:val="26"/>
        </w:rPr>
        <w:t xml:space="preserve"> и 202</w:t>
      </w:r>
      <w:r w:rsidR="00A66064">
        <w:rPr>
          <w:b/>
          <w:sz w:val="26"/>
          <w:szCs w:val="26"/>
        </w:rPr>
        <w:t>6</w:t>
      </w:r>
      <w:r w:rsidR="0088563D" w:rsidRPr="007849E2">
        <w:rPr>
          <w:b/>
          <w:sz w:val="26"/>
          <w:szCs w:val="26"/>
        </w:rPr>
        <w:t xml:space="preserve"> годов</w:t>
      </w:r>
      <w:r w:rsidRPr="007849E2">
        <w:rPr>
          <w:b/>
          <w:sz w:val="26"/>
          <w:szCs w:val="26"/>
        </w:rPr>
        <w:t>»</w:t>
      </w:r>
    </w:p>
    <w:p w:rsidR="00E64852" w:rsidRDefault="00E64852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E64852" w:rsidRPr="00E82692" w:rsidRDefault="00E64852" w:rsidP="00E6485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5"/>
          <w:szCs w:val="25"/>
        </w:rPr>
      </w:pPr>
    </w:p>
    <w:tbl>
      <w:tblPr>
        <w:tblW w:w="1020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3"/>
        <w:gridCol w:w="1418"/>
        <w:gridCol w:w="1417"/>
        <w:gridCol w:w="1276"/>
        <w:gridCol w:w="1276"/>
        <w:gridCol w:w="1701"/>
      </w:tblGrid>
      <w:tr w:rsidR="00E64852" w:rsidRPr="00E64852" w:rsidTr="0040741A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Очередной  финансовый год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1-й год планового периода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2-й год планового периода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6</w:t>
            </w:r>
          </w:p>
        </w:tc>
      </w:tr>
      <w:tr w:rsidR="0040741A" w:rsidRPr="00E64852" w:rsidTr="0040741A">
        <w:trPr>
          <w:trHeight w:val="1056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40741A" w:rsidRPr="00A66064" w:rsidRDefault="0040741A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Муниципальная программа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2"/>
                <w:szCs w:val="22"/>
              </w:rPr>
            </w:pPr>
            <w:r w:rsidRPr="00A66064">
              <w:rPr>
                <w:bCs/>
                <w:spacing w:val="-6"/>
                <w:sz w:val="22"/>
                <w:szCs w:val="22"/>
              </w:rPr>
              <w:t xml:space="preserve">«Профилактика безнадзорности и правонарушений несовершеннолетних» </w:t>
            </w:r>
            <w:r w:rsidRPr="00A66064">
              <w:rPr>
                <w:color w:val="000000" w:themeColor="text1"/>
                <w:spacing w:val="-3"/>
                <w:sz w:val="22"/>
                <w:szCs w:val="22"/>
              </w:rPr>
              <w:t>на 2024 год и плановый период 2025-2026 годов»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133" w:type="dxa"/>
            <w:shd w:val="clear" w:color="auto" w:fill="auto"/>
          </w:tcPr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E64852" w:rsidRPr="00E64852" w:rsidTr="0040741A">
        <w:trPr>
          <w:trHeight w:val="1083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134,00 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134,00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134,00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6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60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40741A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</w:t>
            </w:r>
            <w:r w:rsidRPr="00A66064">
              <w:rPr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A66064">
              <w:rPr>
                <w:bCs/>
                <w:sz w:val="22"/>
                <w:szCs w:val="22"/>
              </w:rPr>
              <w:t>профилактических мероприятий с</w:t>
            </w:r>
            <w:r w:rsidR="0040741A">
              <w:rPr>
                <w:bCs/>
                <w:sz w:val="22"/>
                <w:szCs w:val="22"/>
              </w:rPr>
              <w:t xml:space="preserve"> </w:t>
            </w:r>
            <w:r w:rsidRPr="00A66064">
              <w:rPr>
                <w:bCs/>
                <w:sz w:val="22"/>
                <w:szCs w:val="22"/>
              </w:rPr>
              <w:t>несовершеннолетними, склонными</w:t>
            </w:r>
            <w:r w:rsidR="0040741A">
              <w:rPr>
                <w:bCs/>
                <w:sz w:val="22"/>
                <w:szCs w:val="22"/>
              </w:rPr>
              <w:t xml:space="preserve"> к  </w:t>
            </w:r>
            <w:r w:rsidRPr="00A66064">
              <w:rPr>
                <w:bCs/>
                <w:sz w:val="22"/>
                <w:szCs w:val="22"/>
              </w:rPr>
              <w:t>бродяжничеству, попрошайничеств</w:t>
            </w:r>
            <w:r w:rsidRPr="00A66064">
              <w:rPr>
                <w:bCs/>
                <w:sz w:val="22"/>
                <w:szCs w:val="22"/>
              </w:rPr>
              <w:lastRenderedPageBreak/>
              <w:t>у</w:t>
            </w:r>
            <w:proofErr w:type="gramStart"/>
            <w:r w:rsidRPr="00A66064">
              <w:rPr>
                <w:bCs/>
                <w:sz w:val="22"/>
                <w:szCs w:val="22"/>
              </w:rPr>
              <w:t>,</w:t>
            </w:r>
            <w:r w:rsidRPr="00A66064">
              <w:rPr>
                <w:bCs/>
                <w:color w:val="FFFFFF" w:themeColor="background1"/>
                <w:sz w:val="22"/>
                <w:szCs w:val="22"/>
              </w:rPr>
              <w:t xml:space="preserve">. 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совершению правонарушений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 xml:space="preserve">Всего 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40741A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40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Местный бюджет 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010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                  Всего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округа, Управление образования администрации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520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Местный бюджет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80,00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884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содержанию и функционированию комиссии по делам несовершеннолетних и защите их прав»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Всего 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bCs/>
                <w:sz w:val="22"/>
                <w:szCs w:val="22"/>
              </w:rPr>
              <w:t>«Проведение рейдов в учреждениях культуры, кафе, в местах скопления подростков в жилом фонде округа (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Координация проведения акций, операций (комиссия по делам несовершеннолетних и защите их прав АЮМО)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 координационных совещаний, «круглых столов» по вопросам профилактики безнадзорности,беспризорности,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в</w:t>
            </w:r>
            <w:r w:rsidRPr="00A66064">
              <w:rPr>
                <w:bCs/>
                <w:sz w:val="22"/>
                <w:szCs w:val="22"/>
              </w:rPr>
              <w:t>ыявлению семей, находящихся в социально-опасном положении, родителей, не выполняющих обязанности по воспитанию, содержанию и обучению детей» (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</w:t>
            </w:r>
            <w:proofErr w:type="gramStart"/>
            <w:r w:rsidRPr="00A6606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 Кузбасское ЛУ МВД России; комиссия по делам несовершеннолетних и защите их прав АЮМО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proofErr w:type="gramStart"/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Pr="00A66064">
              <w:rPr>
                <w:sz w:val="22"/>
                <w:szCs w:val="22"/>
              </w:rPr>
              <w:t xml:space="preserve">управление образования АЮМО, управление социальной защиты населения АЮМО, 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57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proofErr w:type="gramStart"/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Выявление детей, подверженных жестокому обращению в семье, несовершеннолетних, склонных к </w:t>
            </w:r>
            <w:r w:rsidRPr="00A66064">
              <w:rPr>
                <w:bCs/>
                <w:sz w:val="22"/>
                <w:szCs w:val="22"/>
              </w:rPr>
              <w:lastRenderedPageBreak/>
              <w:t xml:space="preserve">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Pr="00A66064">
              <w:rPr>
                <w:sz w:val="22"/>
                <w:szCs w:val="22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Pr="00A66064">
              <w:rPr>
                <w:bCs/>
                <w:sz w:val="22"/>
                <w:szCs w:val="22"/>
              </w:rPr>
              <w:t xml:space="preserve"> 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</w:t>
            </w:r>
            <w:proofErr w:type="gramStart"/>
            <w:r w:rsidRPr="00A66064">
              <w:rPr>
                <w:sz w:val="22"/>
                <w:szCs w:val="22"/>
              </w:rPr>
              <w:t xml:space="preserve"> ,</w:t>
            </w:r>
            <w:proofErr w:type="gramEnd"/>
            <w:r w:rsidRPr="00A66064">
              <w:rPr>
                <w:sz w:val="22"/>
                <w:szCs w:val="22"/>
              </w:rPr>
              <w:t xml:space="preserve">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 xml:space="preserve">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управления, ГБУЗ КО «ЮРБ»)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</w:t>
            </w:r>
            <w:r w:rsidRPr="00A66064">
              <w:rPr>
                <w:bCs/>
                <w:sz w:val="22"/>
                <w:szCs w:val="22"/>
              </w:rPr>
              <w:lastRenderedPageBreak/>
              <w:t>здоровья (</w:t>
            </w:r>
            <w:r w:rsidRPr="00A66064">
              <w:rPr>
                <w:sz w:val="22"/>
                <w:szCs w:val="22"/>
              </w:rPr>
              <w:t>ГБУЗ КО «ЮРБ»)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Профилактическая работа с несовершеннолетними, не посещающими образовательные учреждения без уважительной причины, не обучающимися и неработающими (</w:t>
            </w:r>
            <w:r w:rsidRPr="00A66064">
              <w:rPr>
                <w:sz w:val="22"/>
                <w:szCs w:val="22"/>
              </w:rPr>
              <w:t>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Осуществление </w:t>
            </w:r>
            <w:proofErr w:type="gramStart"/>
            <w:r w:rsidRPr="00A66064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 реализацией спиртных напитков и табачных изделий несовершеннолетним (</w:t>
            </w:r>
            <w:r w:rsidRPr="00A66064">
              <w:rPr>
                <w:sz w:val="22"/>
                <w:szCs w:val="22"/>
              </w:rPr>
              <w:t xml:space="preserve">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Мероприятие Выявление и пресечение случаев вовлечения несовершеннолетних в употребление алкогольной продукции и употребление наркотических </w:t>
            </w:r>
            <w:r w:rsidRPr="00A66064">
              <w:rPr>
                <w:sz w:val="22"/>
                <w:szCs w:val="22"/>
              </w:rPr>
              <w:lastRenderedPageBreak/>
              <w:t xml:space="preserve">средств (Межмуниципальный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 xml:space="preserve">Мероприятие 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7849E2" w:rsidRDefault="007849E2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D45CB2" w:rsidRPr="007849E2" w:rsidRDefault="00B5304E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5.</w:t>
      </w:r>
      <w:r w:rsidR="00D45CB2" w:rsidRPr="007849E2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7849E2">
        <w:rPr>
          <w:b/>
          <w:color w:val="000000"/>
          <w:sz w:val="26"/>
          <w:szCs w:val="26"/>
        </w:rPr>
        <w:t>муниципальной программы</w:t>
      </w:r>
      <w:r w:rsidR="00214F3F" w:rsidRPr="007849E2">
        <w:rPr>
          <w:b/>
          <w:sz w:val="26"/>
          <w:szCs w:val="26"/>
        </w:rPr>
        <w:t>.</w:t>
      </w:r>
    </w:p>
    <w:p w:rsidR="00E60D6A" w:rsidRPr="007849E2" w:rsidRDefault="00E60D6A" w:rsidP="007830B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293"/>
        <w:gridCol w:w="1438"/>
        <w:gridCol w:w="1585"/>
        <w:gridCol w:w="1336"/>
        <w:gridCol w:w="1461"/>
      </w:tblGrid>
      <w:tr w:rsidR="00FB7A67" w:rsidRPr="003C6DA3" w:rsidTr="00214F3F">
        <w:tc>
          <w:tcPr>
            <w:tcW w:w="3105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Базовое значение</w:t>
            </w:r>
          </w:p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показателя</w:t>
            </w:r>
          </w:p>
          <w:p w:rsidR="00FB7A67" w:rsidRPr="003C6DA3" w:rsidRDefault="00E64852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(2023</w:t>
            </w:r>
            <w:r w:rsidR="00FB7A67" w:rsidRPr="003C6DA3">
              <w:rPr>
                <w:b/>
              </w:rPr>
              <w:t xml:space="preserve"> год)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214F3F">
        <w:tc>
          <w:tcPr>
            <w:tcW w:w="3105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14F3F" w:rsidRPr="00214F3F" w:rsidRDefault="005D4AF0" w:rsidP="00F5507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2024</w:t>
            </w:r>
            <w:r w:rsidR="00214F3F" w:rsidRPr="003C6DA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2025</w:t>
            </w:r>
            <w:r w:rsidR="00214F3F" w:rsidRPr="003C6DA3"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2026</w:t>
            </w:r>
            <w:r w:rsidR="00214F3F" w:rsidRPr="003C6DA3">
              <w:t xml:space="preserve"> год</w:t>
            </w:r>
          </w:p>
        </w:tc>
      </w:tr>
      <w:tr w:rsidR="00FB7A67" w:rsidRPr="003C6DA3" w:rsidTr="00214F3F">
        <w:tc>
          <w:tcPr>
            <w:tcW w:w="3105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FB7A67" w:rsidRPr="003C6DA3" w:rsidRDefault="00A17F7D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A67" w:rsidRPr="003C6DA3" w:rsidTr="00214F3F">
        <w:trPr>
          <w:trHeight w:val="97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6DA3">
              <w:t>1.Сокращение преступлений и правонарушений среди несовершеннолетних</w:t>
            </w:r>
            <w:r w:rsidR="00B53FFB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штук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4C0A9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4F3F">
        <w:trPr>
          <w:trHeight w:val="111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2.Снижение количества семей, в которых родители злоупотребляют спиртными напит</w:t>
            </w:r>
            <w:r w:rsidR="00041AA3">
              <w:rPr>
                <w:sz w:val="22"/>
                <w:szCs w:val="22"/>
              </w:rPr>
              <w:t>ками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E64852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FB7A67" w:rsidRPr="003C6DA3" w:rsidTr="00214F3F">
        <w:trPr>
          <w:trHeight w:val="1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CC3717">
            <w:pPr>
              <w:shd w:val="clear" w:color="auto" w:fill="FFFFFF"/>
              <w:ind w:firstLine="10"/>
              <w:jc w:val="right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rPr>
                <w:sz w:val="22"/>
                <w:szCs w:val="22"/>
              </w:rPr>
            </w:pPr>
            <w:r w:rsidRPr="003C6DA3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>
              <w:t>.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E64852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6CBF">
        <w:trPr>
          <w:trHeight w:val="1904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041AA3" w:rsidP="00216CBF">
            <w:pPr>
              <w:rPr>
                <w:sz w:val="22"/>
                <w:szCs w:val="22"/>
              </w:rPr>
            </w:pPr>
            <w:r>
              <w:t>4.Сократить вовлечение</w:t>
            </w:r>
            <w:r w:rsidR="00FB7A67" w:rsidRPr="003C6DA3">
              <w:t xml:space="preserve"> н</w:t>
            </w:r>
            <w:r>
              <w:t>есовершеннолетних в употребление</w:t>
            </w:r>
            <w:r w:rsidR="00FB7A67" w:rsidRPr="003C6DA3">
              <w:t xml:space="preserve"> алкогольной продукции и упо</w:t>
            </w:r>
            <w:r>
              <w:t>требление</w:t>
            </w:r>
            <w:r w:rsidR="00FB7A67" w:rsidRPr="003C6DA3">
              <w:t xml:space="preserve"> наркотических средств.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FB7A67" w:rsidRDefault="00FB7A67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715C0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E7BB9" w:rsidRDefault="000E7BB9" w:rsidP="00E973D5">
      <w:pPr>
        <w:pStyle w:val="Default"/>
        <w:rPr>
          <w:b/>
          <w:spacing w:val="-6"/>
          <w:sz w:val="26"/>
          <w:szCs w:val="26"/>
        </w:rPr>
      </w:pPr>
    </w:p>
    <w:p w:rsidR="008F6364" w:rsidRPr="003C6DA3" w:rsidRDefault="008F6364" w:rsidP="008F6364">
      <w:pPr>
        <w:pStyle w:val="Default"/>
        <w:ind w:left="426" w:firstLine="72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 xml:space="preserve">Раздел 6. </w:t>
      </w:r>
      <w:r w:rsidRPr="003C6DA3">
        <w:rPr>
          <w:b/>
        </w:rPr>
        <w:t xml:space="preserve">. </w:t>
      </w:r>
      <w:r w:rsidRPr="003C6DA3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  <w:r w:rsidRPr="003C6DA3">
        <w:rPr>
          <w:b/>
          <w:spacing w:val="-2"/>
          <w:sz w:val="26"/>
          <w:szCs w:val="26"/>
        </w:rPr>
        <w:t>.</w:t>
      </w:r>
    </w:p>
    <w:p w:rsidR="008F6364" w:rsidRPr="007849E2" w:rsidRDefault="008F6364" w:rsidP="008F6364">
      <w:pPr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3) о досрочном прекращении реализации Программы. </w:t>
      </w:r>
    </w:p>
    <w:p w:rsidR="00F716A1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реализации </w:t>
      </w:r>
    </w:p>
    <w:p w:rsidR="00F716A1" w:rsidRPr="003C6DA3" w:rsidRDefault="008F6364" w:rsidP="00E973D5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bCs/>
          <w:color w:val="auto"/>
          <w:sz w:val="26"/>
          <w:szCs w:val="26"/>
        </w:rPr>
        <w:t xml:space="preserve">Программы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8F6364" w:rsidRPr="003C6DA3" w:rsidRDefault="008F6364" w:rsidP="008F6364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lastRenderedPageBreak/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8F6364" w:rsidRPr="003C6DA3" w:rsidRDefault="008F6364" w:rsidP="008F636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9E2939" w:rsidRPr="00186DD6" w:rsidRDefault="009E2939" w:rsidP="00186DD6">
      <w:pPr>
        <w:pStyle w:val="Default"/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8F6364" w:rsidRPr="003C6DA3" w:rsidTr="00BF1F45">
        <w:trPr>
          <w:trHeight w:val="159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>Оценка эффективности Программы.</w:t>
            </w:r>
          </w:p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8F6364" w:rsidRPr="003C6DA3" w:rsidRDefault="008F6364" w:rsidP="008F6364">
      <w:pPr>
        <w:pStyle w:val="Default"/>
        <w:rPr>
          <w:sz w:val="26"/>
          <w:szCs w:val="26"/>
        </w:rPr>
      </w:pPr>
    </w:p>
    <w:p w:rsidR="008F6364" w:rsidRPr="003C6DA3" w:rsidRDefault="008F6364" w:rsidP="008F636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 xml:space="preserve">Программой и </w:t>
      </w:r>
    </w:p>
    <w:p w:rsidR="008F6364" w:rsidRDefault="008F6364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186DD6" w:rsidRPr="00186DD6" w:rsidRDefault="00186DD6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</w:t>
      </w:r>
      <w:r w:rsidRPr="003C6DA3">
        <w:rPr>
          <w:rFonts w:ascii="Times New Roman" w:hAnsi="Times New Roman"/>
          <w:sz w:val="26"/>
          <w:szCs w:val="26"/>
        </w:rPr>
        <w:lastRenderedPageBreak/>
        <w:t xml:space="preserve">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8F6364" w:rsidRPr="003C6DA3" w:rsidRDefault="008F6364" w:rsidP="008F6364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 w:rsidR="00E973D5">
        <w:rPr>
          <w:b/>
          <w:sz w:val="26"/>
          <w:szCs w:val="26"/>
        </w:rPr>
        <w:t>э) реализации программы за 2023</w:t>
      </w:r>
      <w:r w:rsidRPr="003C6DA3">
        <w:rPr>
          <w:b/>
          <w:sz w:val="26"/>
          <w:szCs w:val="26"/>
        </w:rPr>
        <w:t xml:space="preserve"> год составил </w:t>
      </w:r>
      <w:r>
        <w:rPr>
          <w:b/>
          <w:sz w:val="26"/>
          <w:szCs w:val="26"/>
        </w:rPr>
        <w:t>1,9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>
        <w:rPr>
          <w:b/>
          <w:sz w:val="26"/>
          <w:szCs w:val="26"/>
        </w:rPr>
        <w:t xml:space="preserve"> уровень эффективности, предварительный  </w:t>
      </w:r>
      <w:r w:rsidR="00E973D5">
        <w:rPr>
          <w:b/>
          <w:sz w:val="26"/>
          <w:szCs w:val="26"/>
        </w:rPr>
        <w:t>оценка эффективности за 2023</w:t>
      </w:r>
      <w:r>
        <w:rPr>
          <w:b/>
          <w:sz w:val="26"/>
          <w:szCs w:val="26"/>
        </w:rPr>
        <w:t xml:space="preserve"> год составит высокий уровень эффективности.</w:t>
      </w:r>
    </w:p>
    <w:p w:rsidR="005F25E6" w:rsidRPr="002F645E" w:rsidRDefault="008F6364" w:rsidP="005F25E6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  <w:r w:rsidR="005F25E6" w:rsidRPr="002F645E">
        <w:t xml:space="preserve"> </w:t>
      </w:r>
    </w:p>
    <w:sectPr w:rsidR="005F25E6" w:rsidRPr="002F645E" w:rsidSect="007849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BB" w:rsidRDefault="00F145BB" w:rsidP="003C6DA3">
      <w:r>
        <w:separator/>
      </w:r>
    </w:p>
  </w:endnote>
  <w:endnote w:type="continuationSeparator" w:id="0">
    <w:p w:rsidR="00F145BB" w:rsidRDefault="00F145BB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BB" w:rsidRDefault="00F145BB" w:rsidP="003C6DA3">
      <w:r>
        <w:separator/>
      </w:r>
    </w:p>
  </w:footnote>
  <w:footnote w:type="continuationSeparator" w:id="0">
    <w:p w:rsidR="00F145BB" w:rsidRDefault="00F145BB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26FA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D791C"/>
    <w:rsid w:val="001F0197"/>
    <w:rsid w:val="001F1E5B"/>
    <w:rsid w:val="001F37AF"/>
    <w:rsid w:val="0020126E"/>
    <w:rsid w:val="002117DB"/>
    <w:rsid w:val="00214F3F"/>
    <w:rsid w:val="00216CBF"/>
    <w:rsid w:val="00223540"/>
    <w:rsid w:val="00224C0E"/>
    <w:rsid w:val="002256AC"/>
    <w:rsid w:val="00227AAD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845"/>
    <w:rsid w:val="0040741A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D28"/>
    <w:rsid w:val="00480CC5"/>
    <w:rsid w:val="004919C7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73F"/>
    <w:rsid w:val="00507A91"/>
    <w:rsid w:val="00507FFC"/>
    <w:rsid w:val="00512E8F"/>
    <w:rsid w:val="00512F3D"/>
    <w:rsid w:val="00521850"/>
    <w:rsid w:val="00521879"/>
    <w:rsid w:val="00525A0D"/>
    <w:rsid w:val="00534272"/>
    <w:rsid w:val="005366A9"/>
    <w:rsid w:val="00537930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1963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66DE4"/>
    <w:rsid w:val="006728C0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A1703"/>
    <w:rsid w:val="008C1EE4"/>
    <w:rsid w:val="008C2FA6"/>
    <w:rsid w:val="008C3AE5"/>
    <w:rsid w:val="008D13B4"/>
    <w:rsid w:val="008D1720"/>
    <w:rsid w:val="008D327F"/>
    <w:rsid w:val="008D44BD"/>
    <w:rsid w:val="008E6182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D0D29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17F7D"/>
    <w:rsid w:val="00A2097E"/>
    <w:rsid w:val="00A2237D"/>
    <w:rsid w:val="00A264A7"/>
    <w:rsid w:val="00A26915"/>
    <w:rsid w:val="00A47BBD"/>
    <w:rsid w:val="00A53067"/>
    <w:rsid w:val="00A53C67"/>
    <w:rsid w:val="00A55934"/>
    <w:rsid w:val="00A65BD9"/>
    <w:rsid w:val="00A65ED6"/>
    <w:rsid w:val="00A66064"/>
    <w:rsid w:val="00A70DE0"/>
    <w:rsid w:val="00A7345B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AC17F4"/>
    <w:rsid w:val="00AC59A7"/>
    <w:rsid w:val="00B027FA"/>
    <w:rsid w:val="00B027FE"/>
    <w:rsid w:val="00B147D5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671A6"/>
    <w:rsid w:val="00B75251"/>
    <w:rsid w:val="00B77493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3DD1"/>
    <w:rsid w:val="00BF4391"/>
    <w:rsid w:val="00BF62AF"/>
    <w:rsid w:val="00C007DD"/>
    <w:rsid w:val="00C041B8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3306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79F6"/>
    <w:rsid w:val="00D70385"/>
    <w:rsid w:val="00D77C9B"/>
    <w:rsid w:val="00D84800"/>
    <w:rsid w:val="00D93391"/>
    <w:rsid w:val="00D96B86"/>
    <w:rsid w:val="00D96FF5"/>
    <w:rsid w:val="00D9725F"/>
    <w:rsid w:val="00DA3797"/>
    <w:rsid w:val="00DB40CD"/>
    <w:rsid w:val="00DB63E4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D6A"/>
    <w:rsid w:val="00E63E2D"/>
    <w:rsid w:val="00E6436C"/>
    <w:rsid w:val="00E64852"/>
    <w:rsid w:val="00E65B24"/>
    <w:rsid w:val="00E71B71"/>
    <w:rsid w:val="00E74982"/>
    <w:rsid w:val="00E759AE"/>
    <w:rsid w:val="00E75FEB"/>
    <w:rsid w:val="00E81768"/>
    <w:rsid w:val="00E81A13"/>
    <w:rsid w:val="00E8409C"/>
    <w:rsid w:val="00E94CCE"/>
    <w:rsid w:val="00E973D5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45BB"/>
    <w:rsid w:val="00F17C1A"/>
    <w:rsid w:val="00F31918"/>
    <w:rsid w:val="00F3299B"/>
    <w:rsid w:val="00F3314B"/>
    <w:rsid w:val="00F35A06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5E52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A15-81A2-4BB0-9EB3-AA284F27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2</cp:revision>
  <cp:lastPrinted>2023-09-13T07:30:00Z</cp:lastPrinted>
  <dcterms:created xsi:type="dcterms:W3CDTF">2023-10-30T06:32:00Z</dcterms:created>
  <dcterms:modified xsi:type="dcterms:W3CDTF">2023-10-30T06:32:00Z</dcterms:modified>
</cp:coreProperties>
</file>