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bookmarkStart w:id="0" w:name="_Toc474773835"/>
      <w:bookmarkStart w:id="1" w:name="_Toc474776432"/>
      <w:bookmarkStart w:id="2" w:name="_Toc474827293"/>
      <w:bookmarkStart w:id="3" w:name="_Toc476140978"/>
      <w:r w:rsidRPr="007B0623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ДОКЛАД</w:t>
      </w: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8"/>
          <w:szCs w:val="32"/>
        </w:rPr>
      </w:pP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28"/>
          <w:szCs w:val="32"/>
        </w:rPr>
        <w:t>о состоянии и развитии конкурентной среды на рынках товаров, работ и услуг Юргинского муниципального округа</w:t>
      </w: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</w:pP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>по итогам 202</w:t>
      </w:r>
      <w:r w:rsidR="00C70A3A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>3</w:t>
      </w:r>
      <w:r w:rsidRPr="007B0623">
        <w:rPr>
          <w:rFonts w:ascii="Times New Roman" w:eastAsia="Calibri" w:hAnsi="Times New Roman" w:cs="Times New Roman"/>
          <w:b/>
          <w:color w:val="000000"/>
          <w:spacing w:val="20"/>
          <w:sz w:val="32"/>
          <w:szCs w:val="32"/>
        </w:rPr>
        <w:t xml:space="preserve"> года</w:t>
      </w:r>
    </w:p>
    <w:p w:rsidR="007B0623" w:rsidRPr="00185B1F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pacing w:val="20"/>
          <w:sz w:val="24"/>
          <w:szCs w:val="24"/>
        </w:rPr>
      </w:pPr>
    </w:p>
    <w:bookmarkEnd w:id="0"/>
    <w:bookmarkEnd w:id="1"/>
    <w:bookmarkEnd w:id="2"/>
    <w:bookmarkEnd w:id="3"/>
    <w:p w:rsidR="00710BE1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экономических задач, обозначенных Правительством Российской Федерации на ближайшую перспективу, является развитие конкуренции в российской экономике. С целью обеспечения единых подходов к решению этой задачи распоряжением Правительства Российской Федерации от 17.04.2019 года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768-р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</w:t>
      </w:r>
    </w:p>
    <w:p w:rsidR="007B0623" w:rsidRPr="007B0623" w:rsidRDefault="007B0623" w:rsidP="00710B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субъектах Российской Федерации. </w:t>
      </w:r>
    </w:p>
    <w:p w:rsidR="00710BE1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623" w:rsidRPr="007B0623" w:rsidRDefault="007B0623" w:rsidP="007B062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17.04.2019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768-р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конкуренции в субъектах Российской Федерации»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4B0C01" w:rsidRPr="00816A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http://yurgregion.ru/index.php?id=10245</w:t>
        </w:r>
      </w:hyperlink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распоряжением Губернатора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– Кузбасса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12.12.2019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118-рг</w:t>
      </w:r>
      <w:r w:rsid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 (</w:t>
      </w:r>
      <w:hyperlink r:id="rId9" w:history="1">
        <w:r w:rsidR="002C0928" w:rsidRPr="00816A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http://yurgregion.ru/index.php?id=11916</w:t>
        </w:r>
      </w:hyperlink>
      <w:r w:rsidR="002C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внедрении стандарта развития конкуренции в Кемеровской области» утверждено Распоряжение администрации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(«дорожной карты») по содействию развития конкуренции в Юргинском муниципальном округе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 - Кузбассе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0" w:history="1">
        <w:r w:rsidR="002C5D9C" w:rsidRPr="00816AB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http://yurgregion.ru/index.php?id=10251</w:t>
        </w:r>
      </w:hyperlink>
      <w:proofErr w:type="gramStart"/>
      <w:r w:rsidR="002C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C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0BE1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Доклад о состоянии и развитии конкурентной среды на рынках товаров, работ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услуг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Юргинского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подготовлен </w:t>
      </w:r>
    </w:p>
    <w:p w:rsidR="00710BE1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соответствии с соглашением о внедрении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развития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конкуренции </w:t>
      </w:r>
    </w:p>
    <w:p w:rsid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Кемеровской области - Кузбассе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от 01 августа 2019 года № 335-16 между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администрацией Кемеровской области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 администрацией Юргинского муниципального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2C5D9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1" w:history="1">
        <w:r w:rsidR="005B709D" w:rsidRPr="00816AB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http://yurgregion.ru/index.php?id=5607</w:t>
        </w:r>
      </w:hyperlink>
      <w:r w:rsidR="002C5D9C">
        <w:rPr>
          <w:rFonts w:ascii="Times New Roman" w:eastAsia="Calibri" w:hAnsi="Times New Roman" w:cs="Times New Roman"/>
          <w:sz w:val="28"/>
          <w:szCs w:val="28"/>
        </w:rPr>
        <w:t>)</w:t>
      </w:r>
      <w:r w:rsidRPr="007B0623">
        <w:rPr>
          <w:rFonts w:ascii="Times New Roman" w:eastAsia="Calibri" w:hAnsi="Times New Roman" w:cs="Times New Roman"/>
          <w:sz w:val="28"/>
          <w:szCs w:val="28"/>
        </w:rPr>
        <w:t>.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014" w:rsidRPr="00393014" w:rsidRDefault="00393014" w:rsidP="003930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Юргин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округа от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39301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9301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sz w:val="28"/>
          <w:szCs w:val="28"/>
        </w:rPr>
        <w:t>614</w:t>
      </w:r>
      <w:r w:rsidRPr="0039301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«О создании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овета по </w:t>
      </w:r>
      <w:r w:rsidR="0071509D">
        <w:rPr>
          <w:rFonts w:ascii="Times New Roman" w:eastAsia="Calibri" w:hAnsi="Times New Roman" w:cs="Times New Roman"/>
          <w:sz w:val="28"/>
          <w:szCs w:val="28"/>
        </w:rPr>
        <w:t>развитию конкуренции в Юргинском муниципальн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ом округе» </w:t>
      </w:r>
      <w:r w:rsidR="0071509D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 w:rsidR="0071509D">
        <w:rPr>
          <w:rFonts w:ascii="Times New Roman" w:eastAsia="Calibri" w:hAnsi="Times New Roman" w:cs="Times New Roman"/>
          <w:sz w:val="28"/>
          <w:szCs w:val="28"/>
        </w:rPr>
        <w:t xml:space="preserve">и Положение 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Совета по содействию развитию конкуренции в </w:t>
      </w:r>
      <w:r w:rsidR="0071509D">
        <w:rPr>
          <w:rFonts w:ascii="Times New Roman" w:eastAsia="Calibri" w:hAnsi="Times New Roman" w:cs="Times New Roman"/>
          <w:sz w:val="28"/>
          <w:szCs w:val="28"/>
        </w:rPr>
        <w:t>Юргин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ском </w:t>
      </w:r>
      <w:r w:rsidR="0071509D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393014">
        <w:rPr>
          <w:rFonts w:ascii="Times New Roman" w:eastAsia="Calibri" w:hAnsi="Times New Roman" w:cs="Times New Roman"/>
          <w:sz w:val="28"/>
          <w:szCs w:val="28"/>
        </w:rPr>
        <w:t>ом округе</w:t>
      </w:r>
      <w:r w:rsidR="002C5D9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12" w:history="1">
        <w:r w:rsidR="002C5D9C" w:rsidRPr="00816AB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http://yurgregion.ru/index.php?id=15313</w:t>
        </w:r>
      </w:hyperlink>
      <w:r w:rsidR="002C5D9C">
        <w:rPr>
          <w:rFonts w:ascii="Times New Roman" w:eastAsia="Calibri" w:hAnsi="Times New Roman" w:cs="Times New Roman"/>
          <w:sz w:val="28"/>
          <w:szCs w:val="28"/>
        </w:rPr>
        <w:t xml:space="preserve"> )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93014" w:rsidRPr="00393014" w:rsidRDefault="00393014" w:rsidP="0039301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Совет по содействию развитию конкуренции в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является коллегиальным совещательным органом, обеспечивающим координацию действий органов местного самоуправления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 по содействию развитию конкуренции в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sz w:val="28"/>
          <w:szCs w:val="28"/>
        </w:rPr>
        <w:t>, задачами которого являются: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3014" w:rsidRPr="00393014" w:rsidRDefault="00393014" w:rsidP="003930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- содействие развитию конкуренции в </w:t>
      </w:r>
      <w:r w:rsidR="0071509D" w:rsidRPr="0071509D">
        <w:rPr>
          <w:rFonts w:ascii="Times New Roman" w:eastAsia="Calibri" w:hAnsi="Times New Roman" w:cs="Times New Roman"/>
          <w:sz w:val="28"/>
          <w:szCs w:val="28"/>
        </w:rPr>
        <w:t>Юргинском муниципальном округе</w:t>
      </w:r>
      <w:r w:rsidR="002C5D9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3014" w:rsidRPr="00393014" w:rsidRDefault="00393014" w:rsidP="0039301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3014">
        <w:rPr>
          <w:rFonts w:ascii="Times New Roman" w:eastAsia="Calibri" w:hAnsi="Times New Roman" w:cs="Times New Roman"/>
          <w:sz w:val="28"/>
          <w:szCs w:val="28"/>
        </w:rPr>
        <w:t xml:space="preserve">- выработка рекомендаций по совершенствованию конкурентной среды в </w:t>
      </w:r>
      <w:r w:rsidR="0071509D" w:rsidRPr="0071509D">
        <w:rPr>
          <w:rFonts w:ascii="Times New Roman" w:eastAsia="Calibri" w:hAnsi="Times New Roman" w:cs="Times New Roman"/>
          <w:color w:val="000000"/>
          <w:sz w:val="28"/>
          <w:szCs w:val="28"/>
        </w:rPr>
        <w:t>Юргинском муниципальном округе</w:t>
      </w:r>
      <w:r w:rsidRPr="0039301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93014" w:rsidRPr="00393014" w:rsidRDefault="00393014" w:rsidP="00393014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Toc473707795"/>
      <w:bookmarkStart w:id="5" w:name="_Toc473714368"/>
      <w:bookmarkStart w:id="6" w:name="_Toc473727772"/>
      <w:bookmarkStart w:id="7" w:name="_Toc473788588"/>
      <w:bookmarkStart w:id="8" w:name="_Toc473788749"/>
      <w:bookmarkStart w:id="9" w:name="_Toc474773842"/>
      <w:bookmarkStart w:id="10" w:name="_Toc474776439"/>
      <w:bookmarkStart w:id="11" w:name="_Toc474827300"/>
      <w:bookmarkStart w:id="12" w:name="_Toc476140985"/>
      <w:r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>Все вышеуказанные документы размещены на официальном сайте администрации Юргинского муниципального округа (раздел «Стандарт развития конкуренции в Юргинском муниципальном округе»).</w:t>
      </w: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03AD" w:rsidRPr="002603AD" w:rsidRDefault="002603AD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504D" w:themeColor="accent2"/>
          <w:sz w:val="28"/>
          <w:szCs w:val="28"/>
          <w:lang w:eastAsia="ru-RU"/>
        </w:rPr>
      </w:pPr>
    </w:p>
    <w:p w:rsidR="007B0623" w:rsidRPr="007B0623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Утверждение перечня рынков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для содействия развития конкуренции в Юргинском муниципальном округе</w:t>
      </w: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10BE1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>Распоряжением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администрации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Юргинского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муниципального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623">
        <w:rPr>
          <w:rFonts w:ascii="Times New Roman" w:hAnsi="Times New Roman" w:cs="Times New Roman"/>
          <w:sz w:val="28"/>
          <w:szCs w:val="28"/>
        </w:rPr>
        <w:t>от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="002C5D9C">
        <w:rPr>
          <w:rFonts w:ascii="Times New Roman" w:hAnsi="Times New Roman" w:cs="Times New Roman"/>
          <w:sz w:val="28"/>
          <w:szCs w:val="28"/>
        </w:rPr>
        <w:t>28</w:t>
      </w:r>
      <w:r w:rsidRPr="007B0623">
        <w:rPr>
          <w:rFonts w:ascii="Times New Roman" w:hAnsi="Times New Roman" w:cs="Times New Roman"/>
          <w:sz w:val="28"/>
          <w:szCs w:val="28"/>
        </w:rPr>
        <w:t>.0</w:t>
      </w:r>
      <w:r w:rsidR="002C5D9C">
        <w:rPr>
          <w:rFonts w:ascii="Times New Roman" w:hAnsi="Times New Roman" w:cs="Times New Roman"/>
          <w:sz w:val="28"/>
          <w:szCs w:val="28"/>
        </w:rPr>
        <w:t>9</w:t>
      </w:r>
      <w:r w:rsidRPr="007B0623">
        <w:rPr>
          <w:rFonts w:ascii="Times New Roman" w:hAnsi="Times New Roman" w:cs="Times New Roman"/>
          <w:sz w:val="28"/>
          <w:szCs w:val="28"/>
        </w:rPr>
        <w:t>.202</w:t>
      </w:r>
      <w:r w:rsidR="002C5D9C">
        <w:rPr>
          <w:rFonts w:ascii="Times New Roman" w:hAnsi="Times New Roman" w:cs="Times New Roman"/>
          <w:sz w:val="28"/>
          <w:szCs w:val="28"/>
        </w:rPr>
        <w:t>3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 xml:space="preserve">№ </w:t>
      </w:r>
      <w:r w:rsidR="002C5D9C">
        <w:rPr>
          <w:rFonts w:ascii="Times New Roman" w:hAnsi="Times New Roman" w:cs="Times New Roman"/>
          <w:sz w:val="28"/>
          <w:szCs w:val="28"/>
        </w:rPr>
        <w:t>574</w:t>
      </w:r>
      <w:r w:rsidRPr="007B0623">
        <w:rPr>
          <w:rFonts w:ascii="Times New Roman" w:hAnsi="Times New Roman" w:cs="Times New Roman"/>
          <w:sz w:val="28"/>
          <w:szCs w:val="28"/>
        </w:rPr>
        <w:t>-р</w:t>
      </w:r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sz w:val="28"/>
          <w:szCs w:val="28"/>
        </w:rPr>
        <w:t>«О</w:t>
      </w:r>
      <w:r w:rsidR="002C5D9C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B3910">
        <w:rPr>
          <w:rFonts w:ascii="Times New Roman" w:hAnsi="Times New Roman" w:cs="Times New Roman"/>
          <w:sz w:val="28"/>
          <w:szCs w:val="28"/>
        </w:rPr>
        <w:t>в Распоряжение администрации Юргинского муниципального округа от 23.03.2023 № 173 -</w:t>
      </w:r>
      <w:proofErr w:type="gramStart"/>
      <w:r w:rsidR="000B39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0F08">
        <w:rPr>
          <w:rFonts w:ascii="Times New Roman" w:hAnsi="Times New Roman" w:cs="Times New Roman"/>
          <w:sz w:val="28"/>
          <w:szCs w:val="28"/>
        </w:rPr>
        <w:t xml:space="preserve"> </w:t>
      </w:r>
      <w:r w:rsidR="000B3910">
        <w:rPr>
          <w:rFonts w:ascii="Times New Roman" w:hAnsi="Times New Roman" w:cs="Times New Roman"/>
          <w:sz w:val="28"/>
          <w:szCs w:val="28"/>
        </w:rPr>
        <w:t xml:space="preserve">«Об утверждении перечня товарных рынков по содействию развитию конкуренции в Юргинском муниципальном округе Кемеровской области –Кузбассе» актуализирован </w:t>
      </w:r>
      <w:r w:rsidRPr="007B062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B3910">
        <w:rPr>
          <w:rFonts w:ascii="Times New Roman" w:hAnsi="Times New Roman" w:cs="Times New Roman"/>
          <w:sz w:val="28"/>
          <w:szCs w:val="28"/>
        </w:rPr>
        <w:t xml:space="preserve">товарных </w:t>
      </w:r>
      <w:r w:rsidRPr="007B0623">
        <w:rPr>
          <w:rFonts w:ascii="Times New Roman" w:hAnsi="Times New Roman" w:cs="Times New Roman"/>
          <w:sz w:val="28"/>
          <w:szCs w:val="28"/>
        </w:rPr>
        <w:t>рынков</w:t>
      </w:r>
      <w:r w:rsidR="000B3910">
        <w:rPr>
          <w:rFonts w:ascii="Times New Roman" w:hAnsi="Times New Roman" w:cs="Times New Roman"/>
          <w:sz w:val="28"/>
          <w:szCs w:val="28"/>
        </w:rPr>
        <w:t xml:space="preserve"> по содействию</w:t>
      </w:r>
      <w:r w:rsidRPr="007B0623">
        <w:rPr>
          <w:rFonts w:ascii="Times New Roman" w:hAnsi="Times New Roman" w:cs="Times New Roman"/>
          <w:sz w:val="28"/>
          <w:szCs w:val="28"/>
        </w:rPr>
        <w:t xml:space="preserve"> развитию конкуренции в Юргинском муниципальном округе</w:t>
      </w:r>
      <w:r w:rsidR="000B3910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Кузбассе»</w:t>
      </w:r>
      <w:r w:rsidRPr="007B0623">
        <w:rPr>
          <w:rFonts w:ascii="Times New Roman" w:hAnsi="Times New Roman" w:cs="Times New Roman"/>
          <w:sz w:val="28"/>
          <w:szCs w:val="28"/>
        </w:rPr>
        <w:t>.</w:t>
      </w:r>
    </w:p>
    <w:p w:rsidR="00DE6089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Распоряжение размещено на официальном сайте Администрации Юргинского муниципального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«Юргинский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6089">
        <w:rPr>
          <w:rFonts w:ascii="Times New Roman" w:hAnsi="Times New Roman" w:cs="Times New Roman"/>
          <w:color w:val="000000"/>
          <w:sz w:val="28"/>
          <w:szCs w:val="28"/>
        </w:rPr>
        <w:t>округ»</w:t>
      </w:r>
    </w:p>
    <w:p w:rsidR="007B0623" w:rsidRPr="007B0623" w:rsidRDefault="007B0623" w:rsidP="00DE6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в сети «Интернет» (</w:t>
      </w:r>
      <w:hyperlink r:id="rId13" w:history="1">
        <w:r w:rsidR="002603AD" w:rsidRPr="00816AB1">
          <w:rPr>
            <w:rStyle w:val="a7"/>
            <w:rFonts w:ascii="Times New Roman" w:hAnsi="Times New Roman" w:cs="Times New Roman"/>
            <w:sz w:val="28"/>
            <w:szCs w:val="28"/>
          </w:rPr>
          <w:t>http://yurgregion.ru/index.php?id=10749</w:t>
        </w:r>
      </w:hyperlink>
      <w:r w:rsidR="002603A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B06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B0623">
        <w:rPr>
          <w:rFonts w:ascii="Times New Roman" w:hAnsi="Times New Roman" w:cs="Times New Roman"/>
          <w:color w:val="000000"/>
          <w:sz w:val="28"/>
          <w:szCs w:val="28"/>
        </w:rPr>
        <w:t>В перечень товарных рынков вошли: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общего образования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дополнительного образования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детского отдыха и оздоровления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медицинских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социальных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ритуальных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по сбору и транспортированию твердых коммунальных отходов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выполнения работ по благоустройству городской среды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ремонту автотранспортных средств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Рынок лабораторных исследований для выдачи ветеринарных сопроводительных документов 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племенного животноводства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добычи общераспространенных полезных ископаемых на участках недр местного значения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легкой промышленности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обработки древесины и производства изделий из дерева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дорожной деятельности (за исключением проектирования)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дошкольного образования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теплоснабжения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Рынок поставки сжиженного газа в баллонах 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купли-продажи электрической энергии (мощности) на розничном рынке электрической энергии (мощности)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оказания услуг по перевозке пассажиров и багажа легковым такси на территории Юргинского муниципального округа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связи, в том числе услуг по предоставлению широкополосного доступа к информационно – телекоммуникационной сети «Интернет»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реализации сельскохозяйственной продукции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семеноводства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вылова водных ресурсов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архитектурно – строительного проектирования</w:t>
      </w:r>
    </w:p>
    <w:p w:rsid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кадастровых и землеустроительных работ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по уходу с обеспечением и проживанием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развлекательно – досуговых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Рынок бытового обслуживания населения 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нестационарных и мобильных торговых объектов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сырого молока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мяса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молочной продукции, молока, сыра, масла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услуг связи</w:t>
      </w:r>
      <w:proofErr w:type="gramStart"/>
      <w:r w:rsidRPr="000B391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B391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доступ к сети Интернет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выращивания, переработки и торговли зерновых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производства хлебобулочных изделий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повышения уровня финансовой грамотности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туристических услуг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лесозаготовки</w:t>
      </w:r>
    </w:p>
    <w:p w:rsidR="000B3910" w:rsidRP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Рынок розничной торговли по почте или по информационн</w:t>
      </w:r>
      <w:proofErr w:type="gramStart"/>
      <w:r w:rsidRPr="000B3910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0B3910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коммуникационной сети Интернет </w:t>
      </w:r>
    </w:p>
    <w:p w:rsid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910">
        <w:rPr>
          <w:rFonts w:ascii="Times New Roman" w:hAnsi="Times New Roman" w:cs="Times New Roman"/>
          <w:color w:val="000000"/>
          <w:sz w:val="28"/>
          <w:szCs w:val="28"/>
        </w:rPr>
        <w:t>Деятельность автомобильного грузового транспорта</w:t>
      </w:r>
    </w:p>
    <w:p w:rsidR="000B3910" w:rsidRDefault="000B3910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0BE1" w:rsidRDefault="007B0623" w:rsidP="000B3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дальнейшем проведение корректировки перечня рынков будет проводиться с учетом изменения перечня рынков Кемеровской области, предложений структурных подразделений администрации Юргинского муниципального округа, мнений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предпринимателей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потребителей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товаров</w:t>
      </w:r>
    </w:p>
    <w:p w:rsidR="007B0623" w:rsidRPr="007B0623" w:rsidRDefault="007B0623" w:rsidP="0071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услуг, высказанных в ходе проведения ежегодного мониторинга.</w:t>
      </w:r>
      <w:bookmarkStart w:id="13" w:name="_Toc473707796"/>
      <w:bookmarkStart w:id="14" w:name="_Toc473714369"/>
      <w:bookmarkStart w:id="15" w:name="_Toc473727773"/>
      <w:bookmarkStart w:id="16" w:name="_Toc473788589"/>
      <w:bookmarkStart w:id="17" w:name="_Toc473788750"/>
      <w:bookmarkStart w:id="18" w:name="_Toc474773843"/>
      <w:bookmarkStart w:id="19" w:name="_Toc474776440"/>
      <w:bookmarkStart w:id="20" w:name="_Toc474827301"/>
      <w:bookmarkStart w:id="21" w:name="_Toc476140986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Утверждение плана мероприятий («дорожной карты») по содействию развитию конкуренции 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Юргинского муниципального округа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Распоряжением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Юргинского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</w:p>
    <w:p w:rsidR="007B0623" w:rsidRPr="007B0623" w:rsidRDefault="00224F19" w:rsidP="00CF39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7B0623" w:rsidRPr="007B062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«Об утверждении плана мероприятий («дорожной карты») по содействию развития конкуренции в Юргинском муниципальном округе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Кемеровской области - Кузбассе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» утвержден план мероприятий («дорожная карта») по содействию развития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конкуренции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Юргинском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округе»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размещен</w:t>
      </w:r>
      <w:r w:rsidR="00480F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0623" w:rsidRPr="007B0623">
        <w:rPr>
          <w:rFonts w:ascii="Times New Roman" w:hAnsi="Times New Roman" w:cs="Times New Roman"/>
          <w:color w:val="000000"/>
          <w:sz w:val="28"/>
          <w:szCs w:val="28"/>
        </w:rPr>
        <w:t>в сети «Интернет»</w:t>
      </w:r>
      <w:r w:rsidR="007B0623"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 xml:space="preserve"> на официальном сайте</w:t>
      </w:r>
      <w:r w:rsidR="007B0623" w:rsidRPr="007B0623">
        <w:rPr>
          <w:rFonts w:ascii="Times New Roman" w:eastAsia="Calibri" w:hAnsi="Times New Roman" w:cs="Times New Roman"/>
          <w:b/>
          <w:bCs/>
          <w:color w:val="000000"/>
          <w:spacing w:val="-3"/>
          <w:sz w:val="28"/>
          <w:szCs w:val="28"/>
          <w:lang w:eastAsia="ru-RU" w:bidi="ru-RU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«Юргинский муниципальный округ» </w:t>
      </w:r>
      <w:hyperlink r:id="rId14" w:history="1">
        <w:r w:rsidRPr="00816AB1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http://yurgregion.ru/index.php?id=10251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7B0623" w:rsidRPr="007B0623" w:rsidRDefault="007B0623" w:rsidP="007B0623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План мероприятий «дорожная карта» состоит из двух разделов: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азвити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конкуренции товарных рынк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Юргинского муниципального округа;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Системные мероприятия по развитию конкуренции.</w:t>
      </w:r>
    </w:p>
    <w:p w:rsidR="007B0623" w:rsidRPr="00185B1F" w:rsidRDefault="007B0623" w:rsidP="007B0623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 w:bidi="ru-RU"/>
        </w:rPr>
      </w:pPr>
      <w:bookmarkStart w:id="22" w:name="_Toc473707797"/>
      <w:bookmarkStart w:id="23" w:name="_Toc473714370"/>
      <w:bookmarkStart w:id="24" w:name="_Toc473727774"/>
      <w:bookmarkStart w:id="25" w:name="_Toc473788590"/>
      <w:bookmarkStart w:id="26" w:name="_Toc473788751"/>
      <w:bookmarkStart w:id="27" w:name="_Toc474773844"/>
      <w:bookmarkStart w:id="28" w:name="_Toc474776441"/>
      <w:bookmarkStart w:id="29" w:name="_Toc474827302"/>
      <w:bookmarkStart w:id="30" w:name="_Toc476140987"/>
    </w:p>
    <w:p w:rsidR="00480F08" w:rsidRDefault="007B0623" w:rsidP="007B062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ежегодного мониторинга состояния</w:t>
      </w:r>
      <w:r w:rsidR="00480F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B0623" w:rsidRPr="007B0623" w:rsidRDefault="007B0623" w:rsidP="007B0623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развития конкурентной среды на рынках товаров, работ и услуг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B0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Юргинского муниципального округа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течение 202</w:t>
      </w:r>
      <w:r w:rsidR="00224F1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года был проведен мониторинг состояния и развития конкурентной среды на территории Юргинского муниципального округа. Проведение мониторинга позволило оценить состояние развития конкурентной среды на товарных рынках, путем опроса предпринимателей и потребителей товаров, работ и услуг. На официальном сайте администрации Юргинского муниципального округа размещена вкладка о проведении опроса. В опросах Юргинского муниципального округа в 202</w:t>
      </w:r>
      <w:r w:rsidR="008C3A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году приняли участие</w:t>
      </w:r>
      <w:r w:rsidRPr="008C3ABB">
        <w:rPr>
          <w:rFonts w:ascii="Times New Roman" w:eastAsia="Calibri" w:hAnsi="Times New Roman" w:cs="Times New Roman"/>
          <w:color w:val="C0504D" w:themeColor="accent2"/>
          <w:sz w:val="28"/>
          <w:szCs w:val="28"/>
          <w:lang w:eastAsia="ru-RU"/>
        </w:rPr>
        <w:t xml:space="preserve"> </w:t>
      </w:r>
      <w:r w:rsidR="00D6208F" w:rsidRPr="00D6208F"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D620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респондентов. 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Вопросы мониторинга: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а) наличие (отсутствие) административных барьеров и оценка состояния конкурентной среды субъектами предпринимательской деятельности;</w:t>
      </w:r>
    </w:p>
    <w:p w:rsidR="00CF393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б) удовлетворенность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потребителей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качеством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товаров, работ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услуг</w:t>
      </w:r>
    </w:p>
    <w:p w:rsidR="007B0623" w:rsidRPr="00677CFD" w:rsidRDefault="007B0623" w:rsidP="00CF3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на товарных рынках и состоянием ценовой конкуренции,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в) удовлетворенность предпринимателей и потребителей качеством (уровнем доступности, понятности и удобства получения) официальной информацией о состоянии конкурентной среды,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>г) оценка деятельности субъектов естественных монополий на территории субъекта РФ,</w:t>
      </w:r>
    </w:p>
    <w:p w:rsidR="007B0623" w:rsidRPr="00677CFD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оценка деятельности хозяйствующих субъектов, доля участия региона или муниципального образования в которых составляет 50 % и более. </w:t>
      </w:r>
    </w:p>
    <w:p w:rsidR="007B0623" w:rsidRPr="002E163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63F">
        <w:rPr>
          <w:rFonts w:ascii="Times New Roman" w:eastAsia="Calibri" w:hAnsi="Times New Roman" w:cs="Times New Roman"/>
          <w:sz w:val="28"/>
          <w:szCs w:val="28"/>
          <w:lang w:eastAsia="ru-RU"/>
        </w:rPr>
        <w:t>В отношении наличия (отсутствия) административных барьеров респонденты отмечают в качестве ограничений ведения предпринимательской деятельности – высокие налоги, а также отсутствие первоначального капитала.</w:t>
      </w:r>
    </w:p>
    <w:p w:rsidR="007B0623" w:rsidRPr="002E163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63F">
        <w:rPr>
          <w:rFonts w:ascii="Times New Roman" w:eastAsia="Calibri" w:hAnsi="Times New Roman" w:cs="Times New Roman"/>
          <w:sz w:val="28"/>
          <w:szCs w:val="28"/>
          <w:lang w:eastAsia="ru-RU"/>
        </w:rPr>
        <w:t>В ходе мониторинга потребители товаров, работ и услуг оценивали качество товаров, работ, услуг, уровень ценовой конкуренции на товарных рынках.</w:t>
      </w:r>
    </w:p>
    <w:p w:rsidR="007B0623" w:rsidRPr="002E163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1" w:name="_Toc473707803"/>
      <w:bookmarkStart w:id="32" w:name="_Toc473714376"/>
      <w:bookmarkStart w:id="33" w:name="_Toc473727780"/>
      <w:bookmarkStart w:id="34" w:name="_Toc473788596"/>
      <w:bookmarkStart w:id="35" w:name="_Toc473788757"/>
      <w:bookmarkStart w:id="36" w:name="_Toc474773850"/>
      <w:bookmarkStart w:id="37" w:name="_Toc474776447"/>
      <w:bookmarkStart w:id="38" w:name="_Toc474827308"/>
      <w:bookmarkStart w:id="39" w:name="_Toc476140993"/>
    </w:p>
    <w:p w:rsidR="00D6208F" w:rsidRDefault="00D6208F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08F" w:rsidRDefault="00D6208F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0F08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Повышение уровня информированности</w:t>
      </w:r>
      <w:r w:rsidR="00480F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80F08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субъектов предпринимательской деятельности и потребителей товаров</w:t>
      </w:r>
      <w:r w:rsidR="00480F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0623" w:rsidRDefault="007B0623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и услуг о состоянии конкурентной среды и деятельности по содействию развитию конкуренции в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7B0623">
        <w:rPr>
          <w:rFonts w:ascii="Times New Roman" w:eastAsia="Calibri" w:hAnsi="Times New Roman" w:cs="Times New Roman"/>
          <w:b/>
          <w:sz w:val="28"/>
          <w:szCs w:val="28"/>
        </w:rPr>
        <w:t>Юргинском муниципальном округе</w:t>
      </w:r>
    </w:p>
    <w:p w:rsidR="00E46301" w:rsidRPr="00185B1F" w:rsidRDefault="00E46301" w:rsidP="00E46301">
      <w:pPr>
        <w:tabs>
          <w:tab w:val="left" w:pos="28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pacing w:val="-3"/>
          <w:sz w:val="24"/>
          <w:szCs w:val="24"/>
          <w:lang w:eastAsia="ru-RU" w:bidi="ru-RU"/>
        </w:rPr>
      </w:pP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highlight w:val="yellow"/>
          <w:lang w:eastAsia="ru-RU" w:bidi="ru-RU"/>
        </w:rPr>
      </w:pP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 xml:space="preserve">На официальном сайте муниципального образования «Юргинский муниципальный округ» в сети «Интернет» создан информационный портал «Стандарт развития конкуренции»: 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</w:pPr>
      <w:r w:rsidRPr="007B0623">
        <w:rPr>
          <w:rFonts w:ascii="Times New Roman" w:eastAsia="Calibri" w:hAnsi="Times New Roman" w:cs="Times New Roman"/>
          <w:bCs/>
          <w:color w:val="000000"/>
          <w:spacing w:val="-3"/>
          <w:sz w:val="28"/>
          <w:szCs w:val="28"/>
          <w:lang w:eastAsia="ru-RU" w:bidi="ru-RU"/>
        </w:rPr>
        <w:t>На портале размещена следующая информация:</w:t>
      </w:r>
    </w:p>
    <w:p w:rsid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нормативные правовые акты Российской Федерации, Кемеровской области, Юргинского муниципального округа;</w:t>
      </w:r>
    </w:p>
    <w:p w:rsidR="005D44A1" w:rsidRPr="007B0623" w:rsidRDefault="008C3ABB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отчетная информация о состоянии конкуренции в Юргинском муниципальном округе</w:t>
      </w:r>
      <w:r w:rsidR="00D620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включающая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5D44A1" w:rsidRP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еестр хозяйствующих субъектов с муниципальным участием 50 и более процентов, осуществляющих деятельность на территории Юргинского муниципального округа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д</w:t>
      </w:r>
      <w:r w:rsidR="005D44A1" w:rsidRP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оклад о состоянии и развитии конкурентной среды на рынках товаров, работ и услуг Юргинского муниципального округа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о</w:t>
      </w:r>
      <w:r w:rsidR="005D44A1" w:rsidRP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ценка достижения ключевых показателей по содействию развития конкуренции в</w:t>
      </w:r>
      <w:r w:rsidR="005D44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Юргинском муниципальном округе;</w:t>
      </w:r>
      <w:proofErr w:type="gramEnd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Соглашение о внедрении стандарта развития конкуренции в субъектах Российской Федерации, заключенное между </w:t>
      </w:r>
      <w:r w:rsidR="008C3AB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дминистрацией Кемеровской области и администрацией Юргинского муниципального района;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рабочие контакты.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Данный раздел обновляется по мере исполнения требований Стандарта. </w:t>
      </w:r>
    </w:p>
    <w:p w:rsidR="007B0623" w:rsidRPr="00185B1F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40" w:name="_Toc474773852"/>
      <w:bookmarkStart w:id="41" w:name="_Toc474776449"/>
      <w:bookmarkStart w:id="42" w:name="_Toc474827310"/>
      <w:bookmarkStart w:id="43" w:name="_Toc476140995"/>
      <w:bookmarkStart w:id="44" w:name="_Toc473707804"/>
      <w:bookmarkStart w:id="45" w:name="_Toc473714377"/>
      <w:bookmarkStart w:id="46" w:name="_Toc473727782"/>
      <w:bookmarkStart w:id="47" w:name="_Toc473788598"/>
      <w:bookmarkStart w:id="48" w:name="_Toc473788759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состоянии и развитии конкурентной среды на товарных рынках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7B06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Юргинского муниципального округа</w:t>
      </w:r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365F91" w:themeColor="accent1" w:themeShade="BF"/>
          <w:lang w:eastAsia="ru-RU"/>
        </w:rPr>
      </w:pPr>
      <w:r w:rsidRPr="007B0623">
        <w:rPr>
          <w:rFonts w:ascii="Times New Roman" w:eastAsia="Calibri" w:hAnsi="Times New Roman" w:cs="Times New Roman"/>
          <w:color w:val="365F91" w:themeColor="accent1" w:themeShade="BF"/>
          <w:lang w:eastAsia="ru-RU"/>
        </w:rPr>
        <w:tab/>
      </w:r>
      <w:bookmarkStart w:id="49" w:name="_Toc473707805"/>
      <w:bookmarkStart w:id="50" w:name="_Toc473714378"/>
      <w:bookmarkStart w:id="51" w:name="_Toc473727783"/>
      <w:bookmarkStart w:id="52" w:name="_Toc473788599"/>
      <w:bookmarkStart w:id="53" w:name="_Toc473788760"/>
      <w:bookmarkStart w:id="54" w:name="_Toc474773853"/>
      <w:bookmarkStart w:id="55" w:name="_Toc474776450"/>
      <w:bookmarkStart w:id="56" w:name="_Toc474827311"/>
      <w:bookmarkStart w:id="57" w:name="_Toc476140996"/>
    </w:p>
    <w:p w:rsidR="007B0623" w:rsidRPr="007B0623" w:rsidRDefault="007B0623" w:rsidP="007B06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характеристика предприятий и организаций 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Юргинского муниципального округа:</w:t>
      </w:r>
    </w:p>
    <w:p w:rsidR="007B0623" w:rsidRPr="00DE6089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Юргинский муниципальный округ с площадью территории </w:t>
      </w:r>
      <w:r w:rsidRPr="002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2,474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км, численность населения на 01.01.202</w:t>
      </w:r>
      <w:r w:rsidR="00CF63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6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>- 19,</w:t>
      </w:r>
      <w:r w:rsidR="00755E22">
        <w:rPr>
          <w:rFonts w:ascii="Times New Roman" w:eastAsia="Times New Roman" w:hAnsi="Times New Roman" w:cs="Times New Roman"/>
          <w:sz w:val="28"/>
          <w:szCs w:val="28"/>
          <w:lang w:eastAsia="ru-RU"/>
        </w:rPr>
        <w:t>412</w:t>
      </w:r>
      <w:r w:rsidR="00DE6089"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08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человек.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 широко развит сельскохозяйственный сектор.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согласно официальным данным Росстата о распределении</w:t>
      </w:r>
    </w:p>
    <w:p w:rsidR="007B0623" w:rsidRPr="007B0623" w:rsidRDefault="007B0623" w:rsidP="007B06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по видам экономической деятельности по состоянию на 01.01.202</w:t>
      </w:r>
      <w:r w:rsidR="00755E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 1.</w:t>
      </w: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9"/>
      <w:bookmarkEnd w:id="58"/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4A1" w:rsidRDefault="005D44A1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23" w:rsidRPr="007B0623" w:rsidRDefault="007B0623" w:rsidP="007B06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Распределение организаций по видам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экономической деятельности и формам собственности</w:t>
      </w:r>
      <w:r w:rsidRPr="00DE60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B0623" w:rsidRPr="00DE6089" w:rsidRDefault="007B0623" w:rsidP="007B0623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</w:rPr>
      </w:pPr>
      <w:r w:rsidRPr="00DE6089">
        <w:rPr>
          <w:rFonts w:ascii="Times New Roman" w:eastAsia="Calibri" w:hAnsi="Times New Roman" w:cs="Times New Roman"/>
          <w:bCs/>
          <w:sz w:val="28"/>
          <w:szCs w:val="28"/>
        </w:rPr>
        <w:t>на 1 января 202</w:t>
      </w:r>
      <w:r w:rsidR="00755E22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DE6089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733"/>
        <w:gridCol w:w="880"/>
        <w:gridCol w:w="1089"/>
      </w:tblGrid>
      <w:tr w:rsidR="005D44A1" w:rsidTr="005D44A1">
        <w:tc>
          <w:tcPr>
            <w:tcW w:w="4608" w:type="dxa"/>
            <w:vMerge w:val="restar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44A1" w:rsidRPr="005D44A1" w:rsidRDefault="005D44A1" w:rsidP="005D44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44A1" w:rsidRPr="005D44A1" w:rsidRDefault="005D44A1" w:rsidP="005D44A1">
            <w:pPr>
              <w:rPr>
                <w:rFonts w:ascii="Times New Roman" w:hAnsi="Times New Roman" w:cs="Times New Roman"/>
              </w:rPr>
            </w:pPr>
            <w:r w:rsidRPr="005D44A1">
              <w:rPr>
                <w:rFonts w:ascii="Times New Roman" w:hAnsi="Times New Roman" w:cs="Times New Roman"/>
              </w:rPr>
              <w:t>Количество организаций,</w:t>
            </w:r>
          </w:p>
          <w:p w:rsidR="005D44A1" w:rsidRPr="005D44A1" w:rsidRDefault="005D44A1" w:rsidP="005D44A1">
            <w:pPr>
              <w:rPr>
                <w:rFonts w:ascii="Times New Roman" w:hAnsi="Times New Roman" w:cs="Times New Roman"/>
              </w:rPr>
            </w:pPr>
            <w:r w:rsidRPr="005D44A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7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4A1" w:rsidRPr="005D44A1" w:rsidRDefault="005D44A1" w:rsidP="005D44A1">
            <w:pPr>
              <w:rPr>
                <w:rFonts w:ascii="Times New Roman" w:hAnsi="Times New Roman" w:cs="Times New Roman"/>
              </w:rPr>
            </w:pPr>
            <w:r w:rsidRPr="005D44A1">
              <w:rPr>
                <w:rFonts w:ascii="Times New Roman" w:hAnsi="Times New Roman" w:cs="Times New Roman"/>
              </w:rPr>
              <w:t>из них по формам собственности:</w:t>
            </w:r>
          </w:p>
        </w:tc>
      </w:tr>
      <w:tr w:rsidR="005D44A1" w:rsidTr="002E163F"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1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1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Pr="00410B4A" w:rsidRDefault="005D44A1" w:rsidP="002E163F">
            <w:pPr>
              <w:pStyle w:val="1"/>
              <w:jc w:val="center"/>
              <w:rPr>
                <w:i/>
              </w:rPr>
            </w:pPr>
            <w:r w:rsidRPr="00410B4A">
              <w:rPr>
                <w:i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4A1" w:rsidRPr="00410B4A" w:rsidRDefault="005D44A1" w:rsidP="002E163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410B4A">
              <w:rPr>
                <w:rFonts w:ascii="Arial Narrow" w:hAnsi="Arial Narrow"/>
                <w:i/>
                <w:sz w:val="20"/>
                <w:szCs w:val="20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4A1" w:rsidRPr="00410B4A" w:rsidRDefault="005D44A1" w:rsidP="002E163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410B4A">
              <w:rPr>
                <w:rFonts w:ascii="Arial Narrow" w:hAnsi="Arial Narrow"/>
                <w:i/>
                <w:sz w:val="20"/>
                <w:szCs w:val="20"/>
              </w:rPr>
              <w:t>смешанная</w:t>
            </w:r>
          </w:p>
          <w:p w:rsidR="005D44A1" w:rsidRPr="00410B4A" w:rsidRDefault="005D44A1" w:rsidP="002E163F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410B4A">
              <w:rPr>
                <w:rFonts w:ascii="Arial Narrow" w:hAnsi="Arial Narrow"/>
                <w:i/>
                <w:sz w:val="20"/>
                <w:szCs w:val="20"/>
              </w:rPr>
              <w:t>российская</w:t>
            </w:r>
          </w:p>
        </w:tc>
      </w:tr>
      <w:tr w:rsidR="005D44A1" w:rsidTr="002E163F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5D44A1" w:rsidRDefault="005D44A1" w:rsidP="002E163F">
            <w:pPr>
              <w:pStyle w:val="21"/>
              <w:ind w:right="0" w:firstLine="0"/>
              <w:jc w:val="center"/>
            </w:pP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b/>
                <w:sz w:val="20"/>
                <w:szCs w:val="20"/>
              </w:rPr>
              <w:t>Всего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896E09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113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3175D9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896E09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 w:rsidRPr="009F78AB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Pr="009F78AB">
              <w:rPr>
                <w:rFonts w:ascii="Arial Narrow" w:hAnsi="Arial Narrow"/>
                <w:sz w:val="20"/>
                <w:szCs w:val="20"/>
              </w:rPr>
              <w:t>з них: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>с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>ельское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лесное 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хозяйство, охота</w:t>
            </w: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</w:p>
          <w:p w:rsidR="005D44A1" w:rsidRPr="009F78AB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>рыболовство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и р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ыбоводство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D44A1" w:rsidRPr="000311FB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5D44A1" w:rsidRPr="00DD4226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1089" w:type="dxa"/>
            <w:shd w:val="clear" w:color="auto" w:fill="auto"/>
          </w:tcPr>
          <w:p w:rsidR="005D44A1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D44A1" w:rsidRPr="00410B4A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  добыча полезных ископаемых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7A3747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7A3747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F78AB">
              <w:rPr>
                <w:rFonts w:ascii="Arial Narrow" w:hAnsi="Arial Narrow"/>
                <w:sz w:val="20"/>
                <w:szCs w:val="20"/>
              </w:rPr>
              <w:t>в том числе: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5921FC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д</w:t>
            </w:r>
            <w:r w:rsidRPr="005921FC">
              <w:rPr>
                <w:rFonts w:ascii="Arial Narrow" w:hAnsi="Arial Narrow"/>
                <w:sz w:val="20"/>
                <w:szCs w:val="20"/>
              </w:rPr>
              <w:t>обыча прочих полезных ископаемых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7A3747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7A3747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3318E0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3318E0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 w:rsidRPr="009F78AB">
              <w:rPr>
                <w:rFonts w:ascii="Arial Narrow" w:hAnsi="Arial Narrow"/>
                <w:sz w:val="20"/>
                <w:szCs w:val="20"/>
              </w:rPr>
              <w:t xml:space="preserve">      в том числе: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 w:rsidRPr="009F78AB">
              <w:rPr>
                <w:rFonts w:ascii="Arial Narrow" w:hAnsi="Arial Narrow"/>
                <w:sz w:val="20"/>
                <w:szCs w:val="20"/>
              </w:rPr>
              <w:t xml:space="preserve">     производство пищевых  продуктов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C8066B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C8066B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о</w:t>
            </w:r>
            <w:r w:rsidRPr="006D3C36">
              <w:rPr>
                <w:rFonts w:ascii="Arial Narrow" w:hAnsi="Arial Narrow"/>
                <w:sz w:val="20"/>
                <w:szCs w:val="20"/>
              </w:rPr>
              <w:t xml:space="preserve">бработка древесины и производство изделий </w:t>
            </w:r>
            <w:proofErr w:type="gramStart"/>
            <w:r w:rsidRPr="006D3C36">
              <w:rPr>
                <w:rFonts w:ascii="Arial Narrow" w:hAnsi="Arial Narrow"/>
                <w:sz w:val="20"/>
                <w:szCs w:val="20"/>
              </w:rPr>
              <w:t>из</w:t>
            </w:r>
            <w:proofErr w:type="gramEnd"/>
            <w:r w:rsidRPr="006D3C3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5D44A1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6D3C36">
              <w:rPr>
                <w:rFonts w:ascii="Arial Narrow" w:hAnsi="Arial Narrow"/>
                <w:sz w:val="20"/>
                <w:szCs w:val="20"/>
              </w:rPr>
              <w:t xml:space="preserve">дерева и пробки, кроме мебели, производство </w:t>
            </w:r>
          </w:p>
          <w:p w:rsidR="005D44A1" w:rsidRPr="009F78AB" w:rsidRDefault="005D44A1" w:rsidP="002E16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6D3C36">
              <w:rPr>
                <w:rFonts w:ascii="Arial Narrow" w:hAnsi="Arial Narrow"/>
                <w:sz w:val="20"/>
                <w:szCs w:val="20"/>
              </w:rPr>
              <w:t>изделий из соломки и материалов для плетения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</w:tcPr>
          <w:p w:rsidR="005D44A1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обеспечение электрической энергией, газом и </w:t>
            </w:r>
          </w:p>
          <w:p w:rsidR="005D44A1" w:rsidRPr="003B2B08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паром; кондиционирование воздуха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311392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водоснабжение; водоотведение, организация </w:t>
            </w:r>
          </w:p>
          <w:p w:rsidR="005D44A1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сбора и утилизация отходов, деятельность</w:t>
            </w:r>
          </w:p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по ликвидации загрязнений 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  строительство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01BF0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311392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01BF0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торговля 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>оптовая и розничная; ремонт</w:t>
            </w:r>
          </w:p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>автотранспортных средств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и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мотоциклов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транспортировка и хранение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311392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311392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5D44A1" w:rsidTr="002E163F">
        <w:tc>
          <w:tcPr>
            <w:tcW w:w="4608" w:type="dxa"/>
            <w:shd w:val="clear" w:color="auto" w:fill="auto"/>
          </w:tcPr>
          <w:p w:rsidR="005D44A1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деятельность </w:t>
            </w:r>
            <w:r w:rsidRPr="009F78AB">
              <w:rPr>
                <w:rFonts w:ascii="Arial Narrow" w:hAnsi="Arial Narrow"/>
                <w:b/>
                <w:sz w:val="20"/>
                <w:szCs w:val="20"/>
              </w:rPr>
              <w:t xml:space="preserve">гостиниц и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предприятий </w:t>
            </w:r>
          </w:p>
          <w:p w:rsidR="005D44A1" w:rsidRPr="009F78AB" w:rsidRDefault="005D44A1" w:rsidP="002E163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     общественного питания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58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84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33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5D44A1" w:rsidRPr="00410B4A" w:rsidRDefault="005D44A1" w:rsidP="002E163F">
            <w:pPr>
              <w:tabs>
                <w:tab w:val="decimal" w:pos="435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Количество организаций,</w:t>
            </w:r>
          </w:p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из них по формам собственности: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</w:tr>
      <w:tr w:rsidR="00D6208F" w:rsidRPr="00D6208F" w:rsidTr="00C22429">
        <w:tc>
          <w:tcPr>
            <w:tcW w:w="460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смешанная</w:t>
            </w:r>
          </w:p>
          <w:p w:rsidR="00D6208F" w:rsidRPr="00D6208F" w:rsidRDefault="00D6208F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российская</w:t>
            </w:r>
          </w:p>
        </w:tc>
      </w:tr>
      <w:tr w:rsidR="00D6208F" w:rsidRPr="00D6208F" w:rsidTr="00C22429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государственная и муниципальная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auto"/>
          </w:tcPr>
          <w:p w:rsidR="00D6208F" w:rsidRPr="00D6208F" w:rsidRDefault="00D6208F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российская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08F" w:rsidRPr="00D6208F" w:rsidRDefault="00D6208F" w:rsidP="00D6208F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  из них: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сельское, лесное  хозяйство, охота, 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рыболовство  и рыбоводство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C22429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добыча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  в том числе: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добыча прочих полезных ископаемых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обрабатывающие производства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 в том числе: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производство пищевых  продуктов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обработка древесины и производство изделий </w:t>
            </w:r>
            <w:proofErr w:type="gramStart"/>
            <w:r w:rsidRPr="00D6208F">
              <w:rPr>
                <w:rFonts w:ascii="Times New Roman" w:hAnsi="Times New Roman" w:cs="Times New Roman"/>
              </w:rPr>
              <w:t>из</w:t>
            </w:r>
            <w:proofErr w:type="gramEnd"/>
            <w:r w:rsidRPr="00D620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  дерева и пробки, кроме мебели, производство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tcBorders>
              <w:bottom w:val="dotted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   изделий из соломки и материалов для </w:t>
            </w:r>
            <w:r w:rsidRPr="00D6208F">
              <w:rPr>
                <w:rFonts w:ascii="Times New Roman" w:hAnsi="Times New Roman" w:cs="Times New Roman"/>
              </w:rPr>
              <w:lastRenderedPageBreak/>
              <w:t>плетения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33" w:type="dxa"/>
            <w:tcBorders>
              <w:bottom w:val="dotted" w:sz="4" w:space="0" w:color="auto"/>
            </w:tcBorders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lastRenderedPageBreak/>
              <w:t xml:space="preserve">  обеспечение электрической энергией, газом и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паром; кондиционирование воздуха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водоснабжение; водоотведение, организация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сбора и утилизация отходов, деятельность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 по ликвидации загрязнений 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строительство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6208F" w:rsidRPr="00D6208F" w:rsidTr="00D6208F">
        <w:tc>
          <w:tcPr>
            <w:tcW w:w="4608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  <w:r w:rsidRPr="00D6208F">
              <w:rPr>
                <w:rFonts w:ascii="Times New Roman" w:hAnsi="Times New Roman" w:cs="Times New Roman"/>
              </w:rPr>
              <w:t xml:space="preserve">   торговля оптовая и розничная; ремонт</w:t>
            </w:r>
          </w:p>
        </w:tc>
        <w:tc>
          <w:tcPr>
            <w:tcW w:w="1260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shd w:val="clear" w:color="auto" w:fill="auto"/>
          </w:tcPr>
          <w:p w:rsidR="00D6208F" w:rsidRPr="00D6208F" w:rsidRDefault="00D6208F" w:rsidP="00D620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D6208F" w:rsidRPr="00D6208F" w:rsidRDefault="00D6208F" w:rsidP="007B0623">
            <w:pPr>
              <w:tabs>
                <w:tab w:val="decimal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480F08" w:rsidRDefault="00480F08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0623" w:rsidRPr="00247C99" w:rsidRDefault="007B0623" w:rsidP="00486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учтенных организаций относится к следующим видам деятельности: государственное управление и обеспечение военной безопасности; социальное обеспечение (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18,</w:t>
      </w:r>
      <w:r w:rsidR="004864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сельское, лесное хозяйство, охо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рыболовство и рыбоводство, </w:t>
      </w:r>
      <w:r w:rsidR="00EE7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управление и обеспечение военной безопасности; с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(16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предоставление прочих видов услуг (9,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%), торговля оптовая и розничная; ремонт автотранспортных средств и мотоциклов (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7C99"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7C9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7B0623" w:rsidRPr="00185B1F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B0623" w:rsidRPr="00247C99" w:rsidRDefault="007B0623" w:rsidP="007B0623">
      <w:pPr>
        <w:suppressAutoHyphens/>
        <w:spacing w:after="12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47C99">
        <w:rPr>
          <w:rFonts w:ascii="Times New Roman" w:eastAsia="Calibri" w:hAnsi="Times New Roman" w:cs="Times New Roman"/>
          <w:bCs/>
          <w:sz w:val="28"/>
          <w:szCs w:val="28"/>
        </w:rPr>
        <w:t xml:space="preserve">Распределение организаций по </w:t>
      </w:r>
      <w:proofErr w:type="gramStart"/>
      <w:r w:rsidRPr="00247C99">
        <w:rPr>
          <w:rFonts w:ascii="Times New Roman" w:eastAsia="Calibri" w:hAnsi="Times New Roman" w:cs="Times New Roman"/>
          <w:bCs/>
          <w:sz w:val="28"/>
          <w:szCs w:val="28"/>
        </w:rPr>
        <w:t>организационно-правовым</w:t>
      </w:r>
      <w:proofErr w:type="gramEnd"/>
    </w:p>
    <w:p w:rsidR="007B0623" w:rsidRPr="00247C99" w:rsidRDefault="007B0623" w:rsidP="007B0623">
      <w:pPr>
        <w:suppressAutoHyphens/>
        <w:spacing w:after="12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47C99">
        <w:rPr>
          <w:rFonts w:ascii="Times New Roman" w:eastAsia="Calibri" w:hAnsi="Times New Roman" w:cs="Times New Roman"/>
          <w:bCs/>
          <w:sz w:val="28"/>
          <w:szCs w:val="28"/>
        </w:rPr>
        <w:t>формам на 1 января 202</w:t>
      </w:r>
      <w:r w:rsidR="00755E22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247C99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</w:p>
    <w:p w:rsidR="007B0623" w:rsidRPr="007B0623" w:rsidRDefault="00185B1F" w:rsidP="007B062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н</w:t>
      </w:r>
      <w:r w:rsidR="007B0623" w:rsidRPr="007B0623">
        <w:rPr>
          <w:rFonts w:ascii="Arial Narrow" w:eastAsia="Times New Roman" w:hAnsi="Arial Narrow" w:cs="Times New Roman"/>
          <w:sz w:val="28"/>
          <w:szCs w:val="28"/>
          <w:lang w:eastAsia="ru-RU"/>
        </w:rPr>
        <w:t>а начало месяца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101"/>
        <w:gridCol w:w="1298"/>
        <w:gridCol w:w="1171"/>
      </w:tblGrid>
      <w:tr w:rsidR="007B0623" w:rsidRPr="007B0623" w:rsidTr="00C22429">
        <w:tc>
          <w:tcPr>
            <w:tcW w:w="62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F08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  <w:r w:rsidR="00480F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7B0623" w:rsidRPr="007B0623" w:rsidRDefault="007B0623" w:rsidP="00755E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202</w:t>
            </w:r>
            <w:r w:rsidR="00755E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., единиц</w:t>
            </w:r>
          </w:p>
        </w:tc>
        <w:tc>
          <w:tcPr>
            <w:tcW w:w="224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% к</w:t>
            </w:r>
          </w:p>
        </w:tc>
      </w:tr>
      <w:tr w:rsidR="007B0623" w:rsidRPr="007B0623" w:rsidTr="00C22429">
        <w:tc>
          <w:tcPr>
            <w:tcW w:w="62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октябрю</w:t>
            </w:r>
          </w:p>
          <w:p w:rsidR="007B0623" w:rsidRPr="007B0623" w:rsidRDefault="007B0623" w:rsidP="00755E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202</w:t>
            </w:r>
            <w:r w:rsidR="00755E2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7B06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январю</w:t>
            </w:r>
          </w:p>
          <w:p w:rsidR="007B0623" w:rsidRPr="007B0623" w:rsidRDefault="007B0623" w:rsidP="00755E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202</w:t>
            </w:r>
            <w:r w:rsidR="00755E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  <w:r w:rsidRPr="007B062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</w:tr>
      <w:tr w:rsidR="007B0623" w:rsidRPr="007B0623" w:rsidTr="00C22429">
        <w:tc>
          <w:tcPr>
            <w:tcW w:w="6228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0623" w:rsidRPr="007B0623" w:rsidRDefault="007B0623" w:rsidP="007B06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8964E8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  <w:r w:rsidR="008964E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247C99" w:rsidP="008964E8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  <w:r w:rsidR="008964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юридические лица, являющиеся коммерческими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8964E8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8964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247C99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,7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унитарные предприятия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хозяйственные общества и товарищества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8964E8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9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247C99" w:rsidP="00247C99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8964E8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9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B0623" w:rsidRPr="007B0623" w:rsidTr="00C22429">
        <w:tc>
          <w:tcPr>
            <w:tcW w:w="6228" w:type="dxa"/>
            <w:tcBorders>
              <w:bottom w:val="dotted" w:sz="4" w:space="0" w:color="auto"/>
            </w:tcBorders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акционерные общества</w:t>
            </w:r>
          </w:p>
        </w:tc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7B0623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юридические лица, являющиеся некоммерческими организациями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8964E8" w:rsidP="008964E8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8964E8" w:rsidP="008964E8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</w:t>
            </w:r>
            <w:r w:rsidR="007B0623" w:rsidRPr="007B06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8964E8" w:rsidP="008964E8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247C99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потребительские кооперативы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247C99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8964E8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96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4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0623" w:rsidRPr="007B0623" w:rsidTr="00C22429">
        <w:tc>
          <w:tcPr>
            <w:tcW w:w="6228" w:type="dxa"/>
            <w:shd w:val="clear" w:color="auto" w:fill="auto"/>
          </w:tcPr>
          <w:p w:rsidR="007B0623" w:rsidRPr="007B0623" w:rsidRDefault="00480F08" w:rsidP="007B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623"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фонды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0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4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71" w:type="dxa"/>
            <w:shd w:val="clear" w:color="auto" w:fill="auto"/>
            <w:vAlign w:val="bottom"/>
          </w:tcPr>
          <w:p w:rsidR="007B0623" w:rsidRPr="007B0623" w:rsidRDefault="007B0623" w:rsidP="007B0623">
            <w:pPr>
              <w:tabs>
                <w:tab w:val="decimal" w:pos="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B0623" w:rsidRPr="007B0623" w:rsidRDefault="007B0623" w:rsidP="007B0623">
      <w:pPr>
        <w:suppressAutoHyphens/>
        <w:spacing w:after="0" w:line="240" w:lineRule="exact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bookmarkStart w:id="59" w:name="_Toc473707806"/>
      <w:bookmarkStart w:id="60" w:name="_Toc473714379"/>
      <w:bookmarkStart w:id="61" w:name="_Toc473727784"/>
      <w:bookmarkStart w:id="62" w:name="_Toc473788600"/>
      <w:bookmarkStart w:id="63" w:name="_Toc473788761"/>
      <w:bookmarkStart w:id="64" w:name="_Toc474773854"/>
      <w:bookmarkStart w:id="65" w:name="_Toc474776451"/>
      <w:bookmarkStart w:id="66" w:name="_Toc474827312"/>
      <w:bookmarkStart w:id="67" w:name="_Toc476140997"/>
      <w:r w:rsidRPr="007B0623"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Меры, принимаемые с целью развития конкуренции и повышения инвестиционной привлекательности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инвестиционной политики – рост инвестиций в экономику Юргинского муниципального округа, способствующих интенсивному развитию производственной сферы, модернизации производства, повышению конкурентоспособности производимых в муниципальном образовании товаров и услуг, росту доходов населения, предприятий и муниципального бюджета.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реализации инвестиционной политики в Юргинском муниципальном округе являются: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инвестиционного климата;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актуализация, размещение необходимой информации на официальном сайте администрации Юргинского муниципального округа для инвестора;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в актуальном состоянии базы данных инвестиционных площадок и инвестиционных проектов, реализуемых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округа;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каналов прямой связи инвестора с руководством муниципального образования;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 поддержки бизнеса в рамках реализации муниципальной программы по осуществлению инвестиционной деятельности, развитию предпринимательства и наращиванию налогового потенциала;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административных процедур в сфере реализации инвестиционных проектов.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создания и развития благоприятных условий осуществления инвестиционной деятельности в Ю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ргинском муниципальном округе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0623" w:rsidRPr="007B0623" w:rsidRDefault="007B0623" w:rsidP="0082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организована работа по оказанию имущественной поддержки субъектам малого и среднего предпринимательства на территории Юргинского муниципального района, </w:t>
      </w:r>
      <w:r w:rsidR="00893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управлению муниципальным имуществом (КУМИ)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Юргинского муниципального округа 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2-р 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3D4D" w:rsidRP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администрации Юргинского муниципального района от 12.12.2017 № 432-р «Об утверждении перечня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5" w:history="1">
        <w:r w:rsidR="00826900" w:rsidRPr="006B77F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http://yurgregion.ru/files/docs/rasp/2019/11/rasp_30102019_452-r.docx</w:t>
        </w:r>
        <w:proofErr w:type="gramEnd"/>
      </w:hyperlink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Распоряжением администрации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от 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3D4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218</w:t>
      </w:r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Start"/>
      <w:r w:rsidRP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</w:t>
      </w:r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поддержки субъектов малого и среднего предпринимательства, а также </w:t>
      </w:r>
      <w:proofErr w:type="spellStart"/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="00826900" w:rsidRP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 </w:t>
      </w:r>
      <w:r w:rsidR="00710B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6" w:history="1">
        <w:r w:rsidR="00826900" w:rsidRPr="006B77F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http://yurgregion.ru/index.php?id=11778</w:t>
        </w:r>
      </w:hyperlink>
      <w:proofErr w:type="gramStart"/>
      <w:r w:rsidR="00826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933" w:rsidRDefault="007B0623" w:rsidP="00515B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15B31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народных депутатов Юргинского муниципального округа</w:t>
      </w:r>
      <w:r w:rsid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 апреля 2021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№107- НА</w:t>
      </w:r>
      <w:r w:rsid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формирования, ведения, обязательного опубликования перечней муниципального имущества, свободного от прав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31"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пользование </w:t>
      </w:r>
      <w:proofErr w:type="gramEnd"/>
    </w:p>
    <w:p w:rsidR="007B0623" w:rsidRPr="007B0623" w:rsidRDefault="00515B31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самозанятым</w:t>
      </w:r>
      <w:proofErr w:type="spellEnd"/>
      <w:r w:rsidRPr="0051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утвержден порядок</w:t>
      </w:r>
      <w:r w:rsidR="0071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7" w:history="1">
        <w:r w:rsidR="007123A1" w:rsidRPr="00DE4B06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http://yurgregion.ru/files/docs/resh/2021/resh_2021-04-22_107-NA.docx</w:t>
        </w:r>
      </w:hyperlink>
      <w:r w:rsidR="007123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623" w:rsidRPr="00677CFD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Решением Совета народных депутатов Юргинского муниципального округа от 2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утвержден Прогнозный план (программа) приватизации муниципального имущества муниципального образования Юргинский муниципальный округа на 202</w:t>
      </w:r>
      <w:r w:rsidR="00677CFD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8" w:history="1">
        <w:r w:rsidR="00BD43E8" w:rsidRPr="000A334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http://yurgregion.ru/index.php?id=11278</w:t>
        </w:r>
      </w:hyperlink>
      <w:r w:rsidR="00BD43E8"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43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Распоряжением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Юргинского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28.07.2020 № 367-ар «О совете по инвестиционной деятельности при Главе Юргинского муниципального округа» и Распоряжением администрации Юргинского муниципального округа от 18.02.2021 № 92-р «О внесении изменений в распоряжение администрации Юргинского муниципального округа от 28.07.2020 № 367-р «О совете по инвестиционной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при главе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Юргинского муниципального округа»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Совет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инвестиционной деятельности при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Юргинского муниципального округа.</w:t>
      </w:r>
      <w:r w:rsidRPr="007B0623">
        <w:rPr>
          <w:rFonts w:ascii="TimesDL" w:eastAsia="Times New Roman" w:hAnsi="TimesDL" w:cs="Times New Roman"/>
          <w:sz w:val="24"/>
          <w:szCs w:val="20"/>
          <w:lang w:eastAsia="ru-RU"/>
        </w:rPr>
        <w:t xml:space="preserve"> (</w:t>
      </w:r>
      <w:hyperlink r:id="rId19" w:history="1">
        <w:r w:rsidRPr="007B062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http://yurgregion.ru/index.php?id=7870</w:t>
        </w:r>
      </w:hyperlink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F3933" w:rsidRDefault="00C36D79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народных депутатов Юргинского муниципального района 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77CFD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="007B0623" w:rsidRP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 «О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</w:t>
      </w:r>
      <w:proofErr w:type="gramStart"/>
      <w:r w:rsidR="00677C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CFD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</w:t>
      </w:r>
      <w:proofErr w:type="gramEnd"/>
      <w:r w:rsidR="00677CFD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Порядок проведения экспертизы муниципальных нормативных правовых актов, затрагивающих вопросы предпринимательской </w:t>
      </w:r>
    </w:p>
    <w:p w:rsidR="00677CFD" w:rsidRDefault="00677CFD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инвестици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онной деятельности», утвержден порядок оценки (</w:t>
      </w:r>
      <w:hyperlink r:id="rId20" w:history="1">
        <w:r w:rsidRPr="000A334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http://yurgregion.ru/index.php?id=9776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0623" w:rsidRPr="00185B1F" w:rsidRDefault="007B0623" w:rsidP="007B062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68" w:name="_Toc473707808"/>
      <w:bookmarkStart w:id="69" w:name="_Toc473714381"/>
      <w:bookmarkStart w:id="70" w:name="_Toc473727786"/>
      <w:bookmarkStart w:id="71" w:name="_Toc473788602"/>
      <w:bookmarkStart w:id="72" w:name="_Toc473788763"/>
      <w:bookmarkStart w:id="73" w:name="_Toc474773856"/>
      <w:bookmarkStart w:id="74" w:name="_Toc474776453"/>
      <w:bookmarkStart w:id="75" w:name="_Toc474827314"/>
      <w:bookmarkStart w:id="76" w:name="_Toc476140999"/>
    </w:p>
    <w:p w:rsidR="007B0623" w:rsidRPr="007B0623" w:rsidRDefault="007B0623" w:rsidP="007B06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 w:rsidRPr="007B0623">
        <w:rPr>
          <w:rFonts w:ascii="Times New Roman" w:eastAsia="Calibri" w:hAnsi="Times New Roman" w:cs="Times New Roman"/>
          <w:b/>
          <w:sz w:val="28"/>
          <w:lang w:eastAsia="ru-RU"/>
        </w:rPr>
        <w:t>Текущее состояние развития конкурентной среды на товарных рынках Юргинского муниципального округа факторы, влияющие на развитие конкуренции на рынках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7B0623" w:rsidRPr="00185B1F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услуг общего образования</w:t>
      </w:r>
    </w:p>
    <w:p w:rsidR="00E46301" w:rsidRPr="00185B1F" w:rsidRDefault="00E46301" w:rsidP="00E463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услуги в Юргинском муниципальном округе предоставляются муниципальными образовательными учреждениями различного типа, имеющими лицензии, прошедшими государственную аккредитацию и реализующими государственные программы, что позволяет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lastRenderedPageBreak/>
        <w:t>удовлетворять различные образовательные и воспитательные потребности детей, подростков, молодежи.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9F1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4B179C">
        <w:rPr>
          <w:rFonts w:ascii="Times New Roman" w:eastAsia="Times New Roman" w:hAnsi="Times New Roman" w:cs="Times New Roman"/>
          <w:sz w:val="28"/>
          <w:szCs w:val="28"/>
        </w:rPr>
        <w:t>3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>году в муниципальном округе действовали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9F1">
        <w:rPr>
          <w:rFonts w:ascii="Times New Roman" w:eastAsia="Times New Roman" w:hAnsi="Times New Roman" w:cs="Times New Roman"/>
          <w:sz w:val="28"/>
          <w:szCs w:val="28"/>
        </w:rPr>
        <w:t>17 учреждений,</w:t>
      </w:r>
    </w:p>
    <w:p w:rsidR="007B0623" w:rsidRPr="00EE79F1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9F1">
        <w:rPr>
          <w:rFonts w:ascii="Times New Roman" w:eastAsia="Times New Roman" w:hAnsi="Times New Roman" w:cs="Times New Roman"/>
          <w:sz w:val="28"/>
          <w:szCs w:val="28"/>
        </w:rPr>
        <w:t xml:space="preserve">из которых 13 общеобразовательных школ (в состав которых входят 21 дошкольное отделение). Частных общеобразовательных учреждений, реализующих основную программу общего образования, и индивидуальных предпринимателей, оказывающих услуги по обучению, в Юргинском муниципальном округе не зарегистрировано.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На территории округа негосударственный сектор, который способствовал бы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повышению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обеспеченности услугами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B1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образованию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не развивается.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Потенциальными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рисками, препятствующими развитию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 xml:space="preserve">бизнеса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в негосударственных учреждениях в системе образования, является недостаток собственных ресурсов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>, а также отсутствие востребованности в связи с сокращением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 xml:space="preserve"> количества детей школьного возраста в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38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77" w:name="_Toc473707812"/>
      <w:bookmarkStart w:id="78" w:name="_Toc473714385"/>
      <w:bookmarkStart w:id="79" w:name="_Toc473727790"/>
      <w:bookmarkStart w:id="80" w:name="_Toc473788606"/>
      <w:bookmarkStart w:id="81" w:name="_Toc473788767"/>
      <w:bookmarkStart w:id="82" w:name="_Toc474773860"/>
      <w:bookmarkStart w:id="83" w:name="_Toc474776457"/>
      <w:bookmarkStart w:id="84" w:name="_Toc474827318"/>
      <w:bookmarkStart w:id="85" w:name="_Toc476141003"/>
      <w:bookmarkStart w:id="86" w:name="_Toc473707811"/>
      <w:bookmarkStart w:id="87" w:name="_Toc473714384"/>
      <w:bookmarkStart w:id="88" w:name="_Toc473727789"/>
      <w:bookmarkStart w:id="89" w:name="_Toc473788605"/>
      <w:bookmarkStart w:id="90" w:name="_Toc473788766"/>
      <w:bookmarkStart w:id="91" w:name="_Toc474773859"/>
      <w:bookmarkStart w:id="92" w:name="_Toc474776456"/>
      <w:bookmarkStart w:id="93" w:name="_Toc474827317"/>
      <w:bookmarkStart w:id="94" w:name="_Toc476141002"/>
    </w:p>
    <w:p w:rsidR="007B062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B1F" w:rsidRPr="00185B1F" w:rsidRDefault="00185B1F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lang w:eastAsia="ru-RU"/>
        </w:rPr>
        <w:t>Рынок услуг дополнительного образования детей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7B0623" w:rsidRPr="00185B1F" w:rsidRDefault="007B0623" w:rsidP="007B0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Для организации досуговой занятости детей и подростков в Юргинском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муниципальном округе функционируют спортивная школа, детско-юношеский центр, музыкальная школа и </w:t>
      </w:r>
      <w:r w:rsidR="004B179C">
        <w:rPr>
          <w:rFonts w:ascii="Times New Roman" w:eastAsia="Calibri" w:hAnsi="Times New Roman" w:cs="Times New Roman"/>
          <w:sz w:val="28"/>
          <w:szCs w:val="28"/>
        </w:rPr>
        <w:t xml:space="preserve">детская </w:t>
      </w:r>
      <w:r w:rsidRPr="007B0623">
        <w:rPr>
          <w:rFonts w:ascii="Times New Roman" w:eastAsia="Calibri" w:hAnsi="Times New Roman" w:cs="Times New Roman"/>
          <w:sz w:val="28"/>
          <w:szCs w:val="28"/>
        </w:rPr>
        <w:t>школа искусств</w:t>
      </w:r>
      <w:r w:rsidR="004B179C">
        <w:rPr>
          <w:rFonts w:ascii="Times New Roman" w:eastAsia="Calibri" w:hAnsi="Times New Roman" w:cs="Times New Roman"/>
          <w:sz w:val="28"/>
          <w:szCs w:val="28"/>
        </w:rPr>
        <w:t xml:space="preserve"> (филиалы в 6 населенных пунктах)</w:t>
      </w:r>
      <w:r w:rsidRPr="007B06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623" w:rsidRPr="007A59FB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Численность детей в возрасте 5-18 лет, получающих услуги по дополнительному образованию в муниципальных учреждениях Юргинского муниципального округа по состоянию на 01.01.202</w:t>
      </w:r>
      <w:r w:rsidR="004B179C">
        <w:rPr>
          <w:rFonts w:ascii="Times New Roman" w:eastAsia="Calibri" w:hAnsi="Times New Roman" w:cs="Times New Roman"/>
          <w:sz w:val="28"/>
          <w:szCs w:val="28"/>
        </w:rPr>
        <w:t>4</w:t>
      </w:r>
      <w:r w:rsidRPr="007B0623">
        <w:rPr>
          <w:rFonts w:ascii="Times New Roman" w:eastAsia="Calibri" w:hAnsi="Times New Roman" w:cs="Times New Roman"/>
          <w:sz w:val="28"/>
          <w:szCs w:val="28"/>
        </w:rPr>
        <w:t>г</w:t>
      </w:r>
      <w:r w:rsidRPr="007A59FB">
        <w:rPr>
          <w:rFonts w:ascii="Times New Roman" w:eastAsia="Calibri" w:hAnsi="Times New Roman" w:cs="Times New Roman"/>
          <w:sz w:val="28"/>
          <w:szCs w:val="28"/>
        </w:rPr>
        <w:t>. –</w:t>
      </w:r>
      <w:r w:rsidRPr="00C36D7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78655C">
        <w:rPr>
          <w:rFonts w:ascii="Times New Roman" w:eastAsia="Calibri" w:hAnsi="Times New Roman" w:cs="Times New Roman"/>
          <w:sz w:val="28"/>
          <w:szCs w:val="28"/>
        </w:rPr>
        <w:t>1</w:t>
      </w:r>
      <w:r w:rsidR="0078655C" w:rsidRPr="0078655C">
        <w:rPr>
          <w:rFonts w:ascii="Times New Roman" w:eastAsia="Calibri" w:hAnsi="Times New Roman" w:cs="Times New Roman"/>
          <w:sz w:val="28"/>
          <w:szCs w:val="28"/>
        </w:rPr>
        <w:t>9</w:t>
      </w:r>
      <w:r w:rsidR="007A59FB" w:rsidRPr="0078655C">
        <w:rPr>
          <w:rFonts w:ascii="Times New Roman" w:eastAsia="Calibri" w:hAnsi="Times New Roman" w:cs="Times New Roman"/>
          <w:sz w:val="28"/>
          <w:szCs w:val="28"/>
        </w:rPr>
        <w:t>1</w:t>
      </w:r>
      <w:r w:rsidR="0078655C" w:rsidRPr="0078655C">
        <w:rPr>
          <w:rFonts w:ascii="Times New Roman" w:eastAsia="Calibri" w:hAnsi="Times New Roman" w:cs="Times New Roman"/>
          <w:sz w:val="28"/>
          <w:szCs w:val="28"/>
        </w:rPr>
        <w:t>1</w:t>
      </w:r>
      <w:r w:rsidRPr="00786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59FB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На территории округа отсутствуют частные, коммерческие организации на оказание услуг дополнительного образования детей. Данная ситуация характеризуется</w:t>
      </w:r>
      <w:r w:rsidR="00C36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нехваткой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нормативно-правового</w:t>
      </w:r>
      <w:proofErr w:type="gramEnd"/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, методического 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консультационного сопровождения развития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негосударственного сектора 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дополнительном образовании в части образовательной деятельности, высокие требования к условиям реализации программ (</w:t>
      </w:r>
      <w:r w:rsidR="004338B0" w:rsidRPr="00185B1F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правила и нормы</w:t>
      </w:r>
      <w:r w:rsidRPr="00185B1F">
        <w:rPr>
          <w:rFonts w:ascii="Times New Roman" w:eastAsia="Calibri" w:hAnsi="Times New Roman" w:cs="Times New Roman"/>
          <w:sz w:val="28"/>
          <w:szCs w:val="28"/>
        </w:rPr>
        <w:t>, помещения, кадры), высокая стоимость аренды помещений.</w:t>
      </w:r>
    </w:p>
    <w:p w:rsidR="007B0623" w:rsidRPr="00185B1F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623" w:rsidRPr="007B0623" w:rsidRDefault="007B0623" w:rsidP="00E4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lang w:eastAsia="ru-RU"/>
        </w:rPr>
        <w:t>Рынок услуг детского отдыха и оздоровления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7B0623" w:rsidRPr="00185B1F" w:rsidRDefault="007B0623" w:rsidP="00E46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E463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На территории округа отсутствуют частные, коммерческие организации, оказывающие услуги по детскому отдыху и оздоровлению. </w:t>
      </w:r>
      <w:r w:rsidRPr="007B0623">
        <w:rPr>
          <w:rFonts w:ascii="Times New Roman" w:eastAsia="Calibri" w:hAnsi="Times New Roman" w:cs="Times New Roman"/>
          <w:sz w:val="28"/>
          <w:szCs w:val="28"/>
          <w:lang w:eastAsia="ru-RU"/>
        </w:rPr>
        <w:t>Рынок услуг детского отдыха и оздоровления с неразвитой конкуренцией.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Высокие требования стандартов качества предоставляемой услуги, соответствие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современным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 w:rsidR="00CF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</w:p>
    <w:p w:rsidR="00CF3933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t>и нормам пожарной и антитеррористической безопас</w:t>
      </w:r>
      <w:r w:rsidR="00C36D79">
        <w:rPr>
          <w:rFonts w:ascii="Times New Roman" w:eastAsia="Times New Roman" w:hAnsi="Times New Roman" w:cs="Times New Roman"/>
          <w:sz w:val="28"/>
          <w:szCs w:val="28"/>
        </w:rPr>
        <w:t xml:space="preserve">ности, </w:t>
      </w:r>
      <w:r w:rsidRPr="007B0623">
        <w:rPr>
          <w:rFonts w:ascii="Times New Roman" w:eastAsia="Times New Roman" w:hAnsi="Times New Roman" w:cs="Times New Roman"/>
          <w:sz w:val="28"/>
          <w:szCs w:val="28"/>
        </w:rPr>
        <w:t>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</w:t>
      </w:r>
    </w:p>
    <w:p w:rsidR="00480F08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sz w:val="28"/>
          <w:szCs w:val="28"/>
        </w:rPr>
        <w:lastRenderedPageBreak/>
        <w:t>и психолого-педагогической поддержки детей во время пребывания на отдыхе, в связи с отсутствием профессиональных стандартов специалистов в сфере отдыха и оздоровления.</w:t>
      </w:r>
      <w:r w:rsidR="00480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623" w:rsidRDefault="00026876" w:rsidP="00185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1F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спроса на д</w:t>
      </w:r>
      <w:r w:rsidR="00185B1F">
        <w:rPr>
          <w:rFonts w:ascii="Times New Roman" w:eastAsia="Times New Roman" w:hAnsi="Times New Roman" w:cs="Times New Roman"/>
          <w:sz w:val="28"/>
          <w:szCs w:val="28"/>
        </w:rPr>
        <w:t>анный вид услуг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 xml:space="preserve">связано с 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количества детей школьного возраста в округе</w:t>
      </w:r>
      <w:r w:rsidR="004338B0" w:rsidRPr="00185B1F">
        <w:rPr>
          <w:rFonts w:ascii="Times New Roman" w:eastAsia="Times New Roman" w:hAnsi="Times New Roman" w:cs="Times New Roman"/>
          <w:sz w:val="28"/>
          <w:szCs w:val="28"/>
        </w:rPr>
        <w:t xml:space="preserve">, наличием на территории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Кемеровской области</w:t>
      </w:r>
      <w:r w:rsidR="00185B1F" w:rsidRPr="00185B1F">
        <w:rPr>
          <w:rFonts w:ascii="Times New Roman" w:eastAsia="Times New Roman" w:hAnsi="Times New Roman" w:cs="Times New Roman"/>
          <w:sz w:val="28"/>
          <w:szCs w:val="28"/>
        </w:rPr>
        <w:t>-Кузбасса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 xml:space="preserve"> в «шаговой» доступности уже имеющихся мест детского</w:t>
      </w:r>
      <w:r w:rsidR="00480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отдыха и оздоровления, дела</w:t>
      </w:r>
      <w:r w:rsidR="002F05F8" w:rsidRPr="00185B1F">
        <w:rPr>
          <w:rFonts w:ascii="Times New Roman" w:eastAsia="Times New Roman" w:hAnsi="Times New Roman" w:cs="Times New Roman"/>
          <w:sz w:val="28"/>
          <w:szCs w:val="28"/>
        </w:rPr>
        <w:t xml:space="preserve">ющим </w:t>
      </w:r>
      <w:r w:rsidR="00B07DBA" w:rsidRPr="00185B1F">
        <w:rPr>
          <w:rFonts w:ascii="Times New Roman" w:eastAsia="Times New Roman" w:hAnsi="Times New Roman" w:cs="Times New Roman"/>
          <w:sz w:val="28"/>
          <w:szCs w:val="28"/>
        </w:rPr>
        <w:t>рынок услуг детского отдыха и оздоровления не привлекательным для развития конкуренции</w:t>
      </w:r>
      <w:r w:rsidR="00185B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655C" w:rsidRPr="007B0623" w:rsidRDefault="0078655C" w:rsidP="00185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медицинских услуг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8B" w:rsidRDefault="007B0623" w:rsidP="007B06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Юргинского муниципального округа 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расположено 3 врачебных амбулатории, 2 общих врачебных практики</w:t>
      </w:r>
      <w:r w:rsidR="00C36D79">
        <w:rPr>
          <w:rFonts w:ascii="Times New Roman" w:eastAsia="Times New Roman" w:hAnsi="Times New Roman" w:cs="Times New Roman"/>
          <w:sz w:val="28"/>
          <w:szCs w:val="28"/>
          <w:lang w:eastAsia="ru-RU"/>
        </w:rPr>
        <w:t>, 3 амбулатории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36D79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фельдшерско-акушерских пунктов, которые являются обособленными структурными подразделениями Государственного бюджетного учреждения здравоохранения «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 (ГБУЗ «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Юргинская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больница»).</w:t>
      </w:r>
    </w:p>
    <w:p w:rsidR="00480F08" w:rsidRDefault="00161A8B" w:rsidP="007B06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</w:t>
      </w:r>
      <w:r w:rsidR="007B0623"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разным </w:t>
      </w:r>
      <w:r w:rsidR="007B0623"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профилям: терапевтический, хирургический, педиатрический, гнойной хирургии, урологический, акушерско-гинекологический, кардиологический, неврологический, инфекционный,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равматологический, паллиативный.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933" w:rsidRDefault="007B0623" w:rsidP="00C36D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качественной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и специализированной медицинской помощи организована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работа </w:t>
      </w:r>
    </w:p>
    <w:p w:rsidR="00161A8B" w:rsidRDefault="007B0623" w:rsidP="00CF3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отдаленные села в виде врачебных выездных бригад, в состав которой входят все узкие врачи – специалисты поликлиники, врачи-терапевты, </w:t>
      </w:r>
      <w:proofErr w:type="gramStart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педиатры</w:t>
      </w:r>
      <w:proofErr w:type="gramEnd"/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детского так и взрослого населения.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работают мобильные комплексы с периодичностью не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</w:p>
    <w:p w:rsidR="00161A8B" w:rsidRDefault="007B0623" w:rsidP="00CF3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неделю: </w:t>
      </w:r>
      <w:proofErr w:type="gram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передвижные</w:t>
      </w:r>
      <w:proofErr w:type="gram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флюорограф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маммограф</w:t>
      </w:r>
      <w:proofErr w:type="spellEnd"/>
      <w:r w:rsidRPr="00EE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фельдшерско-акушерский пункт. </w:t>
      </w: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Рынок медицинских услуг относится к рынкам с недостаточно развитой конкуренцией. К проблемам данного</w:t>
      </w:r>
      <w:r w:rsidR="00CF39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рынка относятся: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лицензирование </w:t>
      </w:r>
    </w:p>
    <w:p w:rsid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регистрация медицинской деятельности в соответствии с федеральным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законодательством; высокий уровень первоначальных вложений в развитие бизнеса (большая стоимость лечебного, диагностического, стерилизационного оборудования и т.д.); отсутствие свободных помещений или высокая арендная плата; дефицит квалифицированных кадров.</w:t>
      </w:r>
      <w:bookmarkStart w:id="95" w:name="_Toc473707817"/>
      <w:bookmarkStart w:id="96" w:name="_Toc473714390"/>
      <w:bookmarkStart w:id="97" w:name="_Toc473727795"/>
      <w:bookmarkStart w:id="98" w:name="_Toc473788611"/>
      <w:bookmarkStart w:id="99" w:name="_Toc473788772"/>
      <w:bookmarkStart w:id="100" w:name="_Toc474773865"/>
      <w:bookmarkStart w:id="101" w:name="_Toc474776462"/>
      <w:bookmarkStart w:id="102" w:name="_Toc474827323"/>
      <w:bookmarkStart w:id="103" w:name="_Toc476141008"/>
    </w:p>
    <w:p w:rsidR="00161A8B" w:rsidRPr="00185B1F" w:rsidRDefault="00161A8B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услуг розничной торговли лекарственными препаратами, медицинскими изделиями и сопутствующими товарами.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933" w:rsidRDefault="007B0623" w:rsidP="007B06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Услуги</w:t>
      </w:r>
      <w:r w:rsidR="00CF39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розничной</w:t>
      </w:r>
      <w:r w:rsidR="0048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торговли</w:t>
      </w:r>
      <w:r w:rsidR="0048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лекарственными</w:t>
      </w:r>
      <w:r w:rsidR="00480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препаратами </w:t>
      </w:r>
      <w:proofErr w:type="gramEnd"/>
    </w:p>
    <w:p w:rsidR="007B0623" w:rsidRPr="007B0623" w:rsidRDefault="007B0623" w:rsidP="00CF3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Юргинского муниципального округа оказывают организации частной формы собственности.</w:t>
      </w:r>
    </w:p>
    <w:p w:rsidR="00480F08" w:rsidRDefault="007B0623" w:rsidP="007B06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Рынок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рынкам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развитой конкуренцией.</w:t>
      </w:r>
      <w:r w:rsidR="0048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623" w:rsidRPr="007B0623" w:rsidRDefault="007B0623" w:rsidP="00CF39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проблемам данного рынка относятся: необходимость соблюдения требований к помещениям аптечных организаций, установленных федеральным санитарно-эпидемиологическим законодательством, высокие первоначальные затраты на приобретение помещений и оборудования в собственность, высокая арендная плата, дефицит кадров.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623" w:rsidRPr="007B0623" w:rsidRDefault="007B0623" w:rsidP="007B06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6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Рынок социальных услуг</w:t>
      </w:r>
    </w:p>
    <w:p w:rsidR="007B0623" w:rsidRPr="00185B1F" w:rsidRDefault="007B0623" w:rsidP="007B062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93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Совершенствование деятельности отраслей социальной сферы непосредственно определяет образ и уровень жизни людей, их благосостояние и потребление. Система,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оказывающая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социальные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услуги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нуждающимся</w:t>
      </w:r>
      <w:proofErr w:type="gramEnd"/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социальной поддержке гражданам в Юргинском муниципальном округе, включает:</w:t>
      </w:r>
    </w:p>
    <w:p w:rsidR="007B0623" w:rsidRPr="007B0623" w:rsidRDefault="007B0623" w:rsidP="007B06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Управление социальной защиты населения администрации Юргинского муниципального округа;</w:t>
      </w:r>
    </w:p>
    <w:p w:rsidR="00480F08" w:rsidRDefault="007B0623" w:rsidP="007B06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муниципальное казенное учреждение «Комплексный центр социального обслуживания населения Юргинского муниципального округа» (далее МКУ «КЦСОН») по обслуживанию граждан пожилого возраста и инвалидов (социальные услуги на дому предоставляются социальными работниками в </w:t>
      </w:r>
      <w:r w:rsidRPr="00EE79F1">
        <w:rPr>
          <w:rFonts w:ascii="Times New Roman" w:eastAsia="Calibri" w:hAnsi="Times New Roman" w:cs="Times New Roman"/>
          <w:sz w:val="28"/>
          <w:szCs w:val="28"/>
        </w:rPr>
        <w:t>36 населенных пунктах Юргинского муниципального округа);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color w:val="000000" w:themeColor="text1"/>
          <w:sz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- муниципальное казённое учреждение «Социально-реабилитационный центр для несовершеннолетних Юргинского муниципального округа «Солнышко»» на 21 койко-место. В Центре круглосуточно принимаются несовершеннолетние дети в возрасте от 3 до 18 лет, обратившиеся за помощью самостоятельно, по инициативе родителей либо направленные по другим основаниям в соответствии с законодательством Российской Федерации независимо от места жительства.</w:t>
      </w:r>
      <w:r w:rsidRPr="007B0623">
        <w:rPr>
          <w:color w:val="000000" w:themeColor="text1"/>
          <w:sz w:val="28"/>
        </w:rPr>
        <w:t xml:space="preserve"> 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На территории Юргинского муниципального округа функционируют два учреждения, предоставляющих социальные услуги в стационарной форме для престарелых и инвалидов:</w:t>
      </w:r>
    </w:p>
    <w:p w:rsidR="00CF3933" w:rsidRDefault="007B0623" w:rsidP="007B06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государственное автономное стационарное учреждение социального обслуживания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«Юргинский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дом-интернат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для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престарелых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инвалидов»</w:t>
      </w:r>
    </w:p>
    <w:p w:rsidR="007B0623" w:rsidRPr="007B0623" w:rsidRDefault="007B0623" w:rsidP="00CF39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с. Проскоково;</w:t>
      </w:r>
    </w:p>
    <w:p w:rsidR="007B0623" w:rsidRPr="007B0623" w:rsidRDefault="007B0623" w:rsidP="007B06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0623">
        <w:rPr>
          <w:rFonts w:ascii="Times New Roman" w:eastAsia="Calibri" w:hAnsi="Times New Roman" w:cs="Times New Roman"/>
          <w:sz w:val="28"/>
          <w:szCs w:val="28"/>
        </w:rPr>
        <w:t>Арлюкское</w:t>
      </w:r>
      <w:proofErr w:type="spellEnd"/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 отделение государственного автономного стационарного учреждения «Юргинский дом-интернат для граждан, имеющих психические расстройства».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Учреждения находятся в ведении Министерства социальной защиты населения Кузбасса.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 рынке услуг социального обслуживания оценивается как низкий с неразвитой конкуренцией.</w:t>
      </w:r>
    </w:p>
    <w:p w:rsidR="00CF3933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623">
        <w:rPr>
          <w:rFonts w:ascii="Times New Roman" w:eastAsia="Calibri" w:hAnsi="Times New Roman" w:cs="Times New Roman"/>
          <w:sz w:val="28"/>
          <w:szCs w:val="28"/>
        </w:rPr>
        <w:t>Проблемы: низкие тарифы на социальные услуги, отсутствие тарификации на срочные социальные услуги, отсутствие мер имущественной поддержки СОНКО (льготная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аренда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помещений,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помещений</w:t>
      </w:r>
      <w:proofErr w:type="gramEnd"/>
    </w:p>
    <w:p w:rsidR="007B0623" w:rsidRPr="007B0623" w:rsidRDefault="007B0623" w:rsidP="00CF39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>в безвозмездное пользование, содействие в обеспечении требований пожарной безопасности, доступной среды, компенсация коммунальных платежей и т.д.).</w:t>
      </w:r>
    </w:p>
    <w:p w:rsidR="007B0623" w:rsidRPr="00185B1F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0F08" w:rsidRDefault="007B0623" w:rsidP="007B06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услуг по сбору и транспортированию твердых</w:t>
      </w:r>
      <w:r w:rsidR="00480F0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0623" w:rsidRPr="007B0623" w:rsidRDefault="007B0623" w:rsidP="007B06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коммунальных отходов</w:t>
      </w:r>
    </w:p>
    <w:p w:rsidR="007B0623" w:rsidRPr="00185B1F" w:rsidRDefault="007B0623" w:rsidP="007B06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3933" w:rsidRDefault="007B0623" w:rsidP="007B0623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В настоящее время региональным оператором «Чистый город Кемерово» оказываются услуги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по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сбору, транспортировке, утилизации,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обезвреживании</w:t>
      </w:r>
    </w:p>
    <w:p w:rsidR="007B0623" w:rsidRDefault="007B0623" w:rsidP="00CF3933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захоронение ТКО в Юргинском муниципальном округе.</w:t>
      </w:r>
    </w:p>
    <w:p w:rsidR="00480F08" w:rsidRDefault="00D52D4A" w:rsidP="007B0623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D4A">
        <w:rPr>
          <w:rFonts w:ascii="Times New Roman" w:eastAsia="Calibri" w:hAnsi="Times New Roman" w:cs="Times New Roman"/>
          <w:sz w:val="28"/>
          <w:szCs w:val="28"/>
        </w:rPr>
        <w:t>В 202</w:t>
      </w:r>
      <w:r w:rsidR="00480F08" w:rsidRPr="00480F08">
        <w:rPr>
          <w:rFonts w:ascii="Times New Roman" w:eastAsia="Calibri" w:hAnsi="Times New Roman" w:cs="Times New Roman"/>
          <w:sz w:val="28"/>
          <w:szCs w:val="28"/>
        </w:rPr>
        <w:t>3</w:t>
      </w:r>
      <w:r w:rsidRPr="00D52D4A">
        <w:rPr>
          <w:rFonts w:ascii="Times New Roman" w:eastAsia="Calibri" w:hAnsi="Times New Roman" w:cs="Times New Roman"/>
          <w:sz w:val="28"/>
          <w:szCs w:val="28"/>
        </w:rPr>
        <w:t xml:space="preserve"> году продолжена работа по установке контейнеров для сбора твердых коммунальных отходов.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2D4A">
        <w:rPr>
          <w:rFonts w:ascii="Times New Roman" w:eastAsia="Calibri" w:hAnsi="Times New Roman" w:cs="Times New Roman"/>
          <w:sz w:val="28"/>
          <w:szCs w:val="28"/>
        </w:rPr>
        <w:t xml:space="preserve">Приобретены и установлены </w:t>
      </w:r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257 контейнеров в 11-ти населенных пунктах (с. Поперечное, д. Новороманово, с. Верх-Тайменка, с. Проскоково, п. ст. Юрга-2ая, с. </w:t>
      </w:r>
      <w:proofErr w:type="spell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Мальцево</w:t>
      </w:r>
      <w:proofErr w:type="spellEnd"/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Томилово</w:t>
      </w:r>
      <w:proofErr w:type="spellEnd"/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Елгино</w:t>
      </w:r>
      <w:proofErr w:type="spellEnd"/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Зеледеево</w:t>
      </w:r>
      <w:proofErr w:type="spellEnd"/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Варюхино</w:t>
      </w:r>
      <w:proofErr w:type="spellEnd"/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proofErr w:type="spell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СарСаз</w:t>
      </w:r>
      <w:proofErr w:type="spellEnd"/>
      <w:proofErr w:type="gramStart"/>
      <w:r w:rsidR="00D67BA0" w:rsidRPr="00D67BA0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 w:rsidR="00D67BA0" w:rsidRPr="00D67BA0">
        <w:rPr>
          <w:rFonts w:ascii="Times New Roman" w:eastAsia="Calibri" w:hAnsi="Times New Roman" w:cs="Times New Roman"/>
          <w:sz w:val="28"/>
          <w:szCs w:val="28"/>
        </w:rPr>
        <w:t>.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0623" w:rsidRPr="007B0623" w:rsidRDefault="00D67BA0" w:rsidP="007B0623">
      <w:pPr>
        <w:tabs>
          <w:tab w:val="left" w:pos="709"/>
        </w:tabs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 Рынк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 xml:space="preserve"> услуг по сбору и транспортированию твердых коммунальных отходов оценивается как слабый, низкий с неразвитой конкуренцией.</w:t>
      </w:r>
    </w:p>
    <w:p w:rsidR="007B0623" w:rsidRPr="007B0623" w:rsidRDefault="007B0623" w:rsidP="007B0623">
      <w:pPr>
        <w:tabs>
          <w:tab w:val="left" w:pos="567"/>
          <w:tab w:val="left" w:pos="709"/>
        </w:tabs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Проблемы: экологические ограничения, значительный размер первоначального капитала для создания предприятия, длительные сроки окупаемости капитальных вложений для покупки специального оборудования.</w:t>
      </w:r>
    </w:p>
    <w:p w:rsidR="007B0623" w:rsidRPr="00185B1F" w:rsidRDefault="007B0623" w:rsidP="007B0623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7B06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выполнения работ по благоустройству городской среды</w:t>
      </w:r>
    </w:p>
    <w:p w:rsidR="007B0623" w:rsidRPr="00185B1F" w:rsidRDefault="007B0623" w:rsidP="007B062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D4A" w:rsidRDefault="007B0623" w:rsidP="00C22429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9F1">
        <w:rPr>
          <w:rFonts w:ascii="Times New Roman" w:eastAsia="Calibri" w:hAnsi="Times New Roman" w:cs="Times New Roman"/>
          <w:sz w:val="28"/>
          <w:szCs w:val="28"/>
        </w:rPr>
        <w:t>С 2018 года Юргинский муниципальный округ принимает активное участие в реализации региональной программы «Формирование современной городской среды» национального проекта «Жилье и городская среда</w:t>
      </w:r>
      <w:r w:rsidR="00C2242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67BA0" w:rsidRPr="00D67BA0" w:rsidRDefault="00C22429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BA0">
        <w:rPr>
          <w:rFonts w:ascii="Times New Roman" w:eastAsia="Calibri" w:hAnsi="Times New Roman" w:cs="Times New Roman"/>
          <w:sz w:val="28"/>
          <w:szCs w:val="28"/>
        </w:rPr>
        <w:t>В 202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>3</w:t>
      </w:r>
      <w:r w:rsidRPr="00D67BA0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проведены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работы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по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благоустройству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>общественных</w:t>
      </w:r>
      <w:r w:rsidR="00480F08" w:rsidRPr="00D67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7BA0">
        <w:rPr>
          <w:rFonts w:ascii="Times New Roman" w:eastAsia="Calibri" w:hAnsi="Times New Roman" w:cs="Times New Roman"/>
          <w:sz w:val="28"/>
          <w:szCs w:val="28"/>
        </w:rPr>
        <w:t xml:space="preserve">территорий </w:t>
      </w:r>
      <w:r w:rsidR="00D67BA0" w:rsidRPr="00D67BA0">
        <w:rPr>
          <w:rFonts w:ascii="Times New Roman" w:eastAsia="Calibri" w:hAnsi="Times New Roman" w:cs="Times New Roman"/>
          <w:sz w:val="28"/>
          <w:szCs w:val="28"/>
        </w:rPr>
        <w:t>по благоустройству двух общественных территорий  по адресам:</w:t>
      </w:r>
    </w:p>
    <w:p w:rsidR="00D67BA0" w:rsidRPr="00D67BA0" w:rsidRDefault="00D67BA0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BA0">
        <w:rPr>
          <w:rFonts w:ascii="Times New Roman" w:eastAsia="Calibri" w:hAnsi="Times New Roman" w:cs="Times New Roman"/>
          <w:sz w:val="28"/>
          <w:szCs w:val="28"/>
        </w:rPr>
        <w:t xml:space="preserve"> - п. ст. Юрга-2ая аллея «Героев», ул. Заводская;</w:t>
      </w:r>
    </w:p>
    <w:p w:rsidR="00D67BA0" w:rsidRDefault="00D67BA0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BA0">
        <w:rPr>
          <w:rFonts w:ascii="Times New Roman" w:eastAsia="Calibri" w:hAnsi="Times New Roman" w:cs="Times New Roman"/>
          <w:sz w:val="28"/>
          <w:szCs w:val="28"/>
        </w:rPr>
        <w:t xml:space="preserve">-  п. ст. Арлюк «Сквер мира», ул. </w:t>
      </w:r>
      <w:proofErr w:type="gramStart"/>
      <w:r w:rsidRPr="00D67BA0">
        <w:rPr>
          <w:rFonts w:ascii="Times New Roman" w:eastAsia="Calibri" w:hAnsi="Times New Roman" w:cs="Times New Roman"/>
          <w:sz w:val="28"/>
          <w:szCs w:val="28"/>
        </w:rPr>
        <w:t>Юбилейная</w:t>
      </w:r>
      <w:proofErr w:type="gramEnd"/>
      <w:r w:rsidRPr="00D67B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623" w:rsidRPr="007B0623" w:rsidRDefault="007B0623" w:rsidP="00D67BA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К проблемам данного рынка относится низкий уровень конкуренции.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452E73" w:rsidRDefault="00C22429" w:rsidP="007B0623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У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правлени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многоквартирными домами в Юргинском муниципальном округе собственниками жилых помещений реализ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уются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следующи</w:t>
      </w:r>
      <w:r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>ми</w:t>
      </w:r>
      <w:r w:rsidR="007B0623" w:rsidRPr="00C2242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7B0623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способ</w:t>
      </w: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ами</w:t>
      </w:r>
      <w:r w:rsidR="007B0623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управления:</w:t>
      </w:r>
    </w:p>
    <w:p w:rsidR="007B0623" w:rsidRPr="00452E73" w:rsidRDefault="007B0623" w:rsidP="007B062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собственниками жилья МКД в </w:t>
      </w:r>
      <w:proofErr w:type="spellStart"/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п.ст</w:t>
      </w:r>
      <w:proofErr w:type="spellEnd"/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Юрга-2 по ул. Новая, ул. Школьная, ул. Заводская </w:t>
      </w:r>
      <w:r w:rsidR="00C22429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является</w:t>
      </w: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управляющая компания ООО «</w:t>
      </w:r>
      <w:proofErr w:type="spellStart"/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Жилстрой</w:t>
      </w:r>
      <w:proofErr w:type="spellEnd"/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» – 17 домов;</w:t>
      </w:r>
    </w:p>
    <w:p w:rsidR="00CF3933" w:rsidRPr="00452E73" w:rsidRDefault="007B0623" w:rsidP="007B0623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непосредственное</w:t>
      </w:r>
      <w:r w:rsidR="00480F08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управление</w:t>
      </w:r>
      <w:r w:rsidR="00480F08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собственниками</w:t>
      </w:r>
      <w:r w:rsidR="00480F08"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помещений</w:t>
      </w:r>
    </w:p>
    <w:p w:rsidR="007B0623" w:rsidRPr="00C22429" w:rsidRDefault="007B0623" w:rsidP="00CF3933">
      <w:pPr>
        <w:spacing w:after="0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52E73">
        <w:rPr>
          <w:rFonts w:ascii="Times New Roman" w:eastAsia="Times New Roman" w:hAnsi="Times New Roman" w:cs="Times New Roman"/>
          <w:sz w:val="28"/>
          <w:szCs w:val="26"/>
          <w:lang w:eastAsia="ru-RU"/>
        </w:rPr>
        <w:t>в многоквартирном доме – 85 домов.</w:t>
      </w:r>
    </w:p>
    <w:p w:rsidR="007B0623" w:rsidRPr="007B0623" w:rsidRDefault="007B0623" w:rsidP="007B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lastRenderedPageBreak/>
        <w:t>Факторами, сдерживающими развитие конкуренции в сфере управления многоквартирных домов, являются: высокая степень износа многоквартирных домов, неспособность большинства собственников жилья нести расходы по капитальному ремонту многоквартирных домов.</w:t>
      </w:r>
    </w:p>
    <w:p w:rsidR="007B0623" w:rsidRDefault="007B0623" w:rsidP="00210169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7B0623" w:rsidRP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Согласно контракту с Министерством транспорта Кузбасса транспортную работу по муниципальной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маршрутной сети Юргинского муниципального округа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выполняет Юргинское ГПАТП (Юргинское государственное пассажирское автотранспортное предприятие Кузбасса). Обслуживается 13 пригородных маршрутов.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рынке оказания услуг по перевозке пассажиров автомобильным транспортом по муниципальным маршрутам регулярных перевозок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низкий,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в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связи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с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дефицитом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квалифицированных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кадров,</w:t>
      </w:r>
    </w:p>
    <w:p w:rsidR="00CF3933" w:rsidRDefault="00CF393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х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высокой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текучестью,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обусловленной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623" w:rsidRPr="007B0623">
        <w:rPr>
          <w:rFonts w:ascii="Times New Roman" w:eastAsia="Calibri" w:hAnsi="Times New Roman" w:cs="Times New Roman"/>
          <w:sz w:val="28"/>
          <w:szCs w:val="28"/>
        </w:rPr>
        <w:t>интенсивными условиями труда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невысоким уровнем заработной платы, нерентабельность некоторых маршрутов.</w:t>
      </w:r>
    </w:p>
    <w:p w:rsidR="007B0623" w:rsidRPr="00185B1F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перевозке пассажиров автомобильным транспортом по межмуниципальным маршрутам регулярных перевозок</w:t>
      </w:r>
    </w:p>
    <w:p w:rsidR="00480F08" w:rsidRDefault="00480F08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0623" w:rsidRPr="007B0623" w:rsidRDefault="007B0623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 xml:space="preserve">В Юргинском муниципальном округе автобусное обслуживание между сельскими и городскими населенными пунктами осуществляет Юргинское ГПАТП (Юргинское государственное пассажирское автотранспортное предприятие Кузбасса). </w:t>
      </w:r>
    </w:p>
    <w:p w:rsidR="00CF393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Уровень конкуренции на</w:t>
      </w:r>
      <w:r w:rsidRPr="007B06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рынке оказания услуг по перевозке пассажиров автомобильным транспортом по межмуниципальным маршрутам регулярных перевозок низкий, в связи с дефицитом квалифицированных кадров, их высокой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текучестью,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обусловленной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интенсивными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условиями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623">
        <w:rPr>
          <w:rFonts w:ascii="Times New Roman" w:eastAsia="Calibri" w:hAnsi="Times New Roman" w:cs="Times New Roman"/>
          <w:sz w:val="28"/>
          <w:szCs w:val="28"/>
        </w:rPr>
        <w:t>труда</w:t>
      </w:r>
    </w:p>
    <w:p w:rsidR="007B0623" w:rsidRPr="007B062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и невысоким уровнем заработной платы.</w:t>
      </w:r>
    </w:p>
    <w:p w:rsidR="00210169" w:rsidRPr="00185B1F" w:rsidRDefault="00210169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оказания услуг по ремонту автотранспортных средств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C22429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623">
        <w:rPr>
          <w:rFonts w:ascii="Times New Roman" w:eastAsia="Calibri" w:hAnsi="Times New Roman" w:cs="Times New Roman"/>
          <w:bCs/>
          <w:sz w:val="28"/>
          <w:szCs w:val="28"/>
        </w:rPr>
        <w:t>На 01.01.202</w:t>
      </w:r>
      <w:r w:rsidR="00480F08" w:rsidRPr="00480F08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7B0623">
        <w:rPr>
          <w:rFonts w:ascii="Times New Roman" w:eastAsia="Calibri" w:hAnsi="Times New Roman" w:cs="Times New Roman"/>
          <w:bCs/>
          <w:sz w:val="28"/>
          <w:szCs w:val="28"/>
        </w:rPr>
        <w:t xml:space="preserve"> г. на территории Юргинского муниципального округа </w:t>
      </w:r>
      <w:r w:rsidRPr="00C22429">
        <w:rPr>
          <w:rFonts w:ascii="Times New Roman" w:eastAsia="Calibri" w:hAnsi="Times New Roman" w:cs="Times New Roman"/>
          <w:bCs/>
          <w:sz w:val="28"/>
          <w:szCs w:val="28"/>
        </w:rPr>
        <w:t xml:space="preserve">техническим обслуживанием и ремонтом автотранспортных средств занимаются </w:t>
      </w:r>
      <w:r w:rsidR="00C22429" w:rsidRPr="00C22429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C22429">
        <w:rPr>
          <w:rFonts w:ascii="Times New Roman" w:eastAsia="Calibri" w:hAnsi="Times New Roman" w:cs="Times New Roman"/>
          <w:bCs/>
          <w:sz w:val="28"/>
          <w:szCs w:val="28"/>
        </w:rPr>
        <w:t xml:space="preserve"> индивидуальных предпринимателей.</w:t>
      </w:r>
    </w:p>
    <w:p w:rsidR="007B0623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623">
        <w:rPr>
          <w:rFonts w:ascii="Times New Roman" w:eastAsia="Calibri" w:hAnsi="Times New Roman" w:cs="Times New Roman"/>
          <w:bCs/>
          <w:sz w:val="28"/>
          <w:szCs w:val="28"/>
        </w:rPr>
        <w:t>Проблемы: неравномерное распределение организаций по ремонту автотранспортных средств по муниципальному округу, недостаточный уровень сервиса по ремонту автотранспортных средств, дефицит квалифицированных кадров.</w:t>
      </w:r>
    </w:p>
    <w:p w:rsidR="00210169" w:rsidRPr="00185B1F" w:rsidRDefault="00210169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племенного животноводства</w:t>
      </w:r>
    </w:p>
    <w:p w:rsidR="004C2BB5" w:rsidRPr="00185B1F" w:rsidRDefault="004C2BB5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161A8B" w:rsidRDefault="007B0623" w:rsidP="007B06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8B">
        <w:rPr>
          <w:rFonts w:ascii="Times New Roman" w:eastAsia="Calibri" w:hAnsi="Times New Roman" w:cs="Times New Roman"/>
          <w:sz w:val="28"/>
          <w:szCs w:val="28"/>
        </w:rPr>
        <w:lastRenderedPageBreak/>
        <w:t>В Юргинском муниципальном округе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D4A"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="00161A8B">
        <w:rPr>
          <w:rFonts w:ascii="Times New Roman" w:eastAsia="Calibri" w:hAnsi="Times New Roman" w:cs="Times New Roman"/>
          <w:sz w:val="28"/>
          <w:szCs w:val="28"/>
        </w:rPr>
        <w:t xml:space="preserve"> одно </w:t>
      </w:r>
      <w:r w:rsidRPr="00161A8B">
        <w:rPr>
          <w:rFonts w:ascii="Times New Roman" w:eastAsia="Calibri" w:hAnsi="Times New Roman" w:cs="Times New Roman"/>
          <w:sz w:val="28"/>
          <w:szCs w:val="28"/>
        </w:rPr>
        <w:t xml:space="preserve">предприятие </w:t>
      </w:r>
      <w:r w:rsidR="00D52D4A">
        <w:rPr>
          <w:rFonts w:ascii="Times New Roman" w:eastAsia="Calibri" w:hAnsi="Times New Roman" w:cs="Times New Roman"/>
          <w:sz w:val="28"/>
          <w:szCs w:val="28"/>
        </w:rPr>
        <w:t>(</w:t>
      </w:r>
      <w:r w:rsidRPr="00161A8B">
        <w:rPr>
          <w:rFonts w:ascii="Times New Roman" w:eastAsia="Calibri" w:hAnsi="Times New Roman" w:cs="Times New Roman"/>
          <w:sz w:val="28"/>
          <w:szCs w:val="28"/>
        </w:rPr>
        <w:t>ООО «Юргинский Аграрий»</w:t>
      </w:r>
      <w:r w:rsidR="00D52D4A">
        <w:rPr>
          <w:rFonts w:ascii="Times New Roman" w:eastAsia="Calibri" w:hAnsi="Times New Roman" w:cs="Times New Roman"/>
          <w:sz w:val="28"/>
          <w:szCs w:val="28"/>
        </w:rPr>
        <w:t>),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D4A">
        <w:rPr>
          <w:rFonts w:ascii="Times New Roman" w:eastAsia="Calibri" w:hAnsi="Times New Roman" w:cs="Times New Roman"/>
          <w:sz w:val="28"/>
          <w:szCs w:val="28"/>
        </w:rPr>
        <w:t>имеющее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1A8B">
        <w:rPr>
          <w:rFonts w:ascii="Times New Roman" w:eastAsia="Calibri" w:hAnsi="Times New Roman" w:cs="Times New Roman"/>
          <w:sz w:val="28"/>
          <w:szCs w:val="28"/>
        </w:rPr>
        <w:t>статус «</w:t>
      </w:r>
      <w:proofErr w:type="spellStart"/>
      <w:r w:rsidRPr="00161A8B">
        <w:rPr>
          <w:rFonts w:ascii="Times New Roman" w:eastAsia="Calibri" w:hAnsi="Times New Roman" w:cs="Times New Roman"/>
          <w:sz w:val="28"/>
          <w:szCs w:val="28"/>
        </w:rPr>
        <w:t>Племрепродуктора</w:t>
      </w:r>
      <w:proofErr w:type="spellEnd"/>
      <w:r w:rsidRPr="00161A8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B0623" w:rsidRPr="00161A8B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A8B">
        <w:rPr>
          <w:rFonts w:ascii="Times New Roman" w:eastAsia="Calibri" w:hAnsi="Times New Roman" w:cs="Times New Roman"/>
          <w:sz w:val="28"/>
          <w:szCs w:val="28"/>
        </w:rPr>
        <w:t>Проблемы: высокие финансовые расходы, связанные с деятельностью направленной на племенное животноводство (содержание, кормление, приобретение племенного скота, подтверждение статуса племенного хозяйства), отсутствие квалифицированных специалистов.</w:t>
      </w:r>
    </w:p>
    <w:p w:rsidR="007B0623" w:rsidRPr="00185B1F" w:rsidRDefault="007B0623" w:rsidP="004C2B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185B1F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 xml:space="preserve">Рынок </w:t>
      </w:r>
      <w:r w:rsidR="00E86071">
        <w:rPr>
          <w:rFonts w:ascii="Times New Roman" w:eastAsia="Calibri" w:hAnsi="Times New Roman" w:cs="Times New Roman"/>
          <w:b/>
          <w:sz w:val="28"/>
          <w:szCs w:val="28"/>
        </w:rPr>
        <w:t>производства сырого молока</w:t>
      </w:r>
    </w:p>
    <w:p w:rsidR="00E86071" w:rsidRPr="00E86071" w:rsidRDefault="00E86071" w:rsidP="00E860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Валовое производство молока в сельхозпредприятиях Юргинского муниципального округа за 12 месяцев текущего года составило 19,7 тысяч тонн. Что на 614 тонн выше плана производства продукции на 2023 год.</w:t>
      </w:r>
    </w:p>
    <w:p w:rsidR="00E86071" w:rsidRPr="00E86071" w:rsidRDefault="00E86071" w:rsidP="00E860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Надой на одну фуражную корову за 12 месяцев составил 6 тысяч 006 килограмм, что на 254 кг выше плана производства на 2023 год.</w:t>
      </w:r>
    </w:p>
    <w:p w:rsidR="00E86071" w:rsidRDefault="00E86071" w:rsidP="00E860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 xml:space="preserve">Крупнейшими производителями молока в Юргинском муниципальном округе являются: ООО «Юргинский Аграрий», ООО «Юргинский» </w:t>
      </w:r>
      <w:proofErr w:type="gramStart"/>
      <w:r w:rsidRPr="00E86071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E8607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86071">
        <w:rPr>
          <w:rFonts w:ascii="Times New Roman" w:eastAsia="Calibri" w:hAnsi="Times New Roman" w:cs="Times New Roman"/>
          <w:sz w:val="28"/>
          <w:szCs w:val="28"/>
        </w:rPr>
        <w:t>Экомол</w:t>
      </w:r>
      <w:proofErr w:type="spellEnd"/>
      <w:r w:rsidRPr="00E86071">
        <w:rPr>
          <w:rFonts w:ascii="Times New Roman" w:eastAsia="Calibri" w:hAnsi="Times New Roman" w:cs="Times New Roman"/>
          <w:sz w:val="28"/>
          <w:szCs w:val="28"/>
        </w:rPr>
        <w:t>». Этими хозяйствами производится 85 % молока от общего валового объема.</w:t>
      </w:r>
    </w:p>
    <w:p w:rsidR="00E86071" w:rsidRPr="00E86071" w:rsidRDefault="00E86071" w:rsidP="00E860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Продолжает работу открывшийся в 2020 году сельскохозяйственный потребительский перерабатывающий кооператив «</w:t>
      </w:r>
      <w:proofErr w:type="spellStart"/>
      <w:r w:rsidRPr="00E86071">
        <w:rPr>
          <w:rFonts w:ascii="Times New Roman" w:eastAsia="Calibri" w:hAnsi="Times New Roman" w:cs="Times New Roman"/>
          <w:sz w:val="28"/>
          <w:szCs w:val="28"/>
        </w:rPr>
        <w:t>Проскоковский</w:t>
      </w:r>
      <w:proofErr w:type="spellEnd"/>
      <w:r w:rsidRPr="00E86071">
        <w:rPr>
          <w:rFonts w:ascii="Times New Roman" w:eastAsia="Calibri" w:hAnsi="Times New Roman" w:cs="Times New Roman"/>
          <w:sz w:val="28"/>
          <w:szCs w:val="28"/>
        </w:rPr>
        <w:t xml:space="preserve">», председатель – Толмачев Артем Евгеньевич. В начале октября в г. Москве состоялась 25-я Российская агропромышленная выставка «Золотая Осень - 2023», где участвовал Толмачев Артем Евгеньевич и был награжден 3 золотыми медалями. За 12 месяцев текущего года закуп молока у населения составил – 400 тонн. Там же предпринимателем </w:t>
      </w:r>
      <w:proofErr w:type="gramStart"/>
      <w:r w:rsidRPr="00E86071">
        <w:rPr>
          <w:rFonts w:ascii="Times New Roman" w:eastAsia="Calibri" w:hAnsi="Times New Roman" w:cs="Times New Roman"/>
          <w:sz w:val="28"/>
          <w:szCs w:val="28"/>
        </w:rPr>
        <w:t>организована</w:t>
      </w:r>
      <w:proofErr w:type="gramEnd"/>
      <w:r w:rsidRPr="00E8607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86071">
        <w:rPr>
          <w:rFonts w:ascii="Times New Roman" w:eastAsia="Calibri" w:hAnsi="Times New Roman" w:cs="Times New Roman"/>
          <w:sz w:val="28"/>
          <w:szCs w:val="28"/>
        </w:rPr>
        <w:t>Экоферма</w:t>
      </w:r>
      <w:proofErr w:type="spellEnd"/>
      <w:r w:rsidRPr="00E86071">
        <w:rPr>
          <w:rFonts w:ascii="Times New Roman" w:eastAsia="Calibri" w:hAnsi="Times New Roman" w:cs="Times New Roman"/>
          <w:sz w:val="28"/>
          <w:szCs w:val="28"/>
        </w:rPr>
        <w:t>». Перерабатывая молоко, фермер производит сыры 7-ми видов, цельное питьевое молоко, йогурт с 9-ю добавками, сырные десерты – 6 разных вкусов, творог, сметану, масло сливочное, реализует отборный фермерский картофель.</w:t>
      </w:r>
    </w:p>
    <w:p w:rsidR="00E86071" w:rsidRPr="00E86071" w:rsidRDefault="00E86071" w:rsidP="00E860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Своей работой предприятие способствует развитию молочного животноводства в личных подсобных хозяйствах и примером показывает, как можно успешно работать и развиваться на селе.</w:t>
      </w:r>
    </w:p>
    <w:p w:rsidR="00E86071" w:rsidRP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В 2024 году планируется сельскохозяйственными предприятиями округа произвести 19 164 тонны молока, 576 тонн мяса в живом весе. Планируемый надой на одну фуражную корову составит 5 797 кг.</w:t>
      </w:r>
    </w:p>
    <w:p w:rsidR="00E86071" w:rsidRDefault="00E86071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6071" w:rsidRPr="00E86071" w:rsidRDefault="00E86071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BB5" w:rsidRDefault="00E86071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>Рынок производства мяса</w:t>
      </w:r>
    </w:p>
    <w:p w:rsidR="00E86071" w:rsidRDefault="00E86071" w:rsidP="004C2B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За 12 месяцев 2023 года в сельхозпредприятиях произведено мяса на убой в живом весе 719 тонн, что на 10 тонн выше плана производства на 2023 год.</w:t>
      </w:r>
    </w:p>
    <w:p w:rsidR="00E86071" w:rsidRP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Мероприятия, направленные на развитие сектора АПК на 2024-2027 годы:</w:t>
      </w:r>
    </w:p>
    <w:p w:rsid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071">
        <w:rPr>
          <w:rFonts w:ascii="Times New Roman" w:eastAsia="Calibri" w:hAnsi="Times New Roman" w:cs="Times New Roman"/>
          <w:sz w:val="28"/>
          <w:szCs w:val="28"/>
        </w:rPr>
        <w:t>-</w:t>
      </w:r>
      <w:r w:rsidRPr="00E86071">
        <w:rPr>
          <w:rFonts w:ascii="Times New Roman" w:eastAsia="Calibri" w:hAnsi="Times New Roman" w:cs="Times New Roman"/>
          <w:sz w:val="28"/>
          <w:szCs w:val="28"/>
        </w:rPr>
        <w:tab/>
        <w:t>строительство комплекса КРС н</w:t>
      </w:r>
      <w:r>
        <w:rPr>
          <w:rFonts w:ascii="Times New Roman" w:eastAsia="Calibri" w:hAnsi="Times New Roman" w:cs="Times New Roman"/>
          <w:sz w:val="28"/>
          <w:szCs w:val="28"/>
        </w:rPr>
        <w:t>а 1 200 голов (ООО «Юргинский»).</w:t>
      </w:r>
    </w:p>
    <w:p w:rsid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071" w:rsidRPr="00E86071" w:rsidRDefault="00E86071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Pr="00E86071" w:rsidRDefault="007B0623" w:rsidP="00E8607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>Рынок обработки древесины и производства изделий из дерева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4C2BB5" w:rsidRPr="00452E73" w:rsidRDefault="004C2BB5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452E7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E73">
        <w:rPr>
          <w:rFonts w:ascii="Times New Roman" w:eastAsia="Calibri" w:hAnsi="Times New Roman" w:cs="Times New Roman"/>
          <w:sz w:val="28"/>
          <w:szCs w:val="28"/>
        </w:rPr>
        <w:t>Рынок обработки древесины и производства изделий из дерева представлен индивидуальными предпринимателями.</w:t>
      </w:r>
    </w:p>
    <w:p w:rsidR="00CF3933" w:rsidRPr="00452E7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52E73">
        <w:rPr>
          <w:rFonts w:ascii="Times New Roman" w:eastAsia="Calibri" w:hAnsi="Times New Roman" w:cs="Times New Roman"/>
          <w:sz w:val="28"/>
          <w:szCs w:val="28"/>
        </w:rPr>
        <w:t>Проблемы: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низкий технический уровень производства отрасли; недостаточная развитость мощностей по глубокой переработке древесного сырья,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создание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которых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может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вовлечь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оборот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невостребованную</w:t>
      </w:r>
      <w:proofErr w:type="gramEnd"/>
    </w:p>
    <w:p w:rsidR="00CF3933" w:rsidRPr="00452E7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 настоящее время низкокачественную древесину; низкий уровень использования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отходов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лесопиления;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недостаток</w:t>
      </w:r>
      <w:r w:rsidR="00480F08"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инвестиций</w:t>
      </w:r>
    </w:p>
    <w:p w:rsidR="007B0623" w:rsidRPr="00452E73" w:rsidRDefault="007B0623" w:rsidP="00CF3933">
      <w:pPr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2E73">
        <w:rPr>
          <w:rFonts w:ascii="Times New Roman" w:eastAsia="Calibri" w:hAnsi="Times New Roman" w:cs="Times New Roman"/>
          <w:color w:val="000000"/>
          <w:sz w:val="28"/>
          <w:szCs w:val="28"/>
        </w:rPr>
        <w:t>в лесопромышленный и деревообрабатывающий комплекс, связанный с низкой инвестиционной привлекательностью многих предприятий.</w:t>
      </w:r>
    </w:p>
    <w:p w:rsidR="00DA7256" w:rsidRPr="00480F08" w:rsidRDefault="00DA7256" w:rsidP="00210169">
      <w:pPr>
        <w:spacing w:after="0" w:line="259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480F08" w:rsidRPr="00683A45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 w:rsidRPr="00683A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</w:t>
      </w:r>
      <w:r w:rsidR="00480F08" w:rsidRPr="00683A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7B0623" w:rsidRPr="00683A45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83A4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дорожного строительства)</w:t>
      </w:r>
    </w:p>
    <w:p w:rsidR="00210169" w:rsidRPr="00683A45" w:rsidRDefault="00210169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B0623" w:rsidRPr="00683A45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A45">
        <w:rPr>
          <w:rFonts w:ascii="Times New Roman" w:eastAsia="Calibri" w:hAnsi="Times New Roman" w:cs="Times New Roman"/>
          <w:sz w:val="28"/>
          <w:szCs w:val="28"/>
        </w:rPr>
        <w:t xml:space="preserve">Главная цель и задача жилищного строительства в Юргинском муниципальном округа – это рост реальной обеспеченности населения жильем, одного из важных индикаторов уровня жизни населения. </w:t>
      </w:r>
    </w:p>
    <w:p w:rsidR="00480F08" w:rsidRPr="00683A45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В жилищной сфере в течение 202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строительство нового жилья осуществлялось только </w:t>
      </w:r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индивидуальными застройщиками</w:t>
      </w:r>
      <w:r w:rsidR="00452E73" w:rsidRPr="00683A45">
        <w:t xml:space="preserve">, </w:t>
      </w:r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на территории округа построено 36 индивидуальных жилых домов (в 2022г. 23 дома) общей площадью 3 тыс. 567 кв. м., что на 1 519 кв. м. больше 2022 года (2 тыс. 48 кв. м.).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452E73" w:rsidRPr="00683A45" w:rsidRDefault="00452E73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 12 месяцев улучшили жилищные условия 41 семья,  одна молодая семья за счет предоставления социальной выплаты, три семьи – по социальному найму </w:t>
      </w:r>
    </w:p>
    <w:p w:rsidR="00452E73" w:rsidRPr="00683A45" w:rsidRDefault="00452E73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Предоставлены:</w:t>
      </w:r>
    </w:p>
    <w:p w:rsidR="00452E73" w:rsidRPr="00683A45" w:rsidRDefault="00452E73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- 3 квартиры из маневренного жилого фонда, в том числе 1 – инвалиду, 1 – многодетной семье. </w:t>
      </w:r>
    </w:p>
    <w:p w:rsidR="00452E73" w:rsidRPr="00683A45" w:rsidRDefault="00452E73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-жилые помещения по договорам специализированного найма  5-ти детям-сиротам.</w:t>
      </w:r>
    </w:p>
    <w:p w:rsidR="00452E73" w:rsidRPr="00683A45" w:rsidRDefault="00452E73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-31 детей-сирот приобрели жилые помещения за счет жилищных сертификатов.</w:t>
      </w:r>
    </w:p>
    <w:p w:rsidR="00480F08" w:rsidRPr="00683A45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>На территории округа введено в эксплуатацию 4,147 тыс. кв. м. общей площади</w:t>
      </w:r>
      <w:r w:rsidR="00E46301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Всего построено 27 </w:t>
      </w:r>
      <w:proofErr w:type="gramStart"/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индивидуальных</w:t>
      </w:r>
      <w:proofErr w:type="gramEnd"/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жилых дома. 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</w:p>
    <w:p w:rsidR="00452E73" w:rsidRPr="00683A45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proofErr w:type="gramStart"/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В целях ввода жилья проводится инвентаризация объектов капитального строительства для последующего ввода в эксплуатацию и регистрации прав на объекты капстроител</w:t>
      </w:r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ьства, выданы разрешения на строительство трех многоквартирных домов в </w:t>
      </w:r>
      <w:proofErr w:type="spellStart"/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п.ст</w:t>
      </w:r>
      <w:proofErr w:type="spellEnd"/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Юрга-2я, ул. Новая, 8-б (1 трехэтажный и 2 </w:t>
      </w:r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 xml:space="preserve">одноэтажных), застройщику предоставлено два земельных участка общей площадью 0,693 га в </w:t>
      </w:r>
      <w:proofErr w:type="spellStart"/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п.ст</w:t>
      </w:r>
      <w:proofErr w:type="spellEnd"/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. Юрга-2 для строительства и размещения многоквартирных жилых домов, а</w:t>
      </w:r>
      <w:proofErr w:type="gramEnd"/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также разработан проект Генерального плана Юргинского муниципального округа, в настоящее время проводится процедура общественных обсуждений. В генплане предусмотрено расширение границ и увеличение жилой зоны населенных пунктов до 10%.</w:t>
      </w:r>
    </w:p>
    <w:p w:rsidR="00E46301" w:rsidRPr="00683A45" w:rsidRDefault="00D52D4A" w:rsidP="00452E7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Проводится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формирование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земельного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участка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площадью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1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Га</w:t>
      </w:r>
      <w:r w:rsidR="00452E73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в п.ст</w:t>
      </w:r>
      <w:proofErr w:type="gramStart"/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.Ю</w:t>
      </w:r>
      <w:proofErr w:type="gramEnd"/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рга-2 и 1,4 га. </w:t>
      </w:r>
      <w:r w:rsidR="00955FF0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с.</w:t>
      </w:r>
      <w:r w:rsidR="00E46301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Проскоково для строительства и размещения МКД. </w:t>
      </w:r>
      <w:proofErr w:type="gramStart"/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Также сформированы и готовы для предоставления гражданам 41 земельный участок. </w:t>
      </w:r>
      <w:proofErr w:type="gramEnd"/>
    </w:p>
    <w:p w:rsidR="00210169" w:rsidRPr="00683A45" w:rsidRDefault="00D52D4A" w:rsidP="00D52D4A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Начаты процедуры по разработке генерального плана Юргинского муниципального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округа,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в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котором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предусмотрено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расширение</w:t>
      </w:r>
      <w:r w:rsidR="00480F08"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границ</w:t>
      </w:r>
    </w:p>
    <w:p w:rsidR="00D52D4A" w:rsidRDefault="00D52D4A" w:rsidP="00210169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83A45">
        <w:rPr>
          <w:rFonts w:ascii="Times New Roman" w:eastAsia="Times New Roman" w:hAnsi="Times New Roman" w:cs="Times New Roman"/>
          <w:sz w:val="28"/>
          <w:szCs w:val="26"/>
          <w:lang w:eastAsia="ru-RU"/>
        </w:rPr>
        <w:t>и увеличение жилой зоны населенных пунктов до 10%.</w:t>
      </w:r>
    </w:p>
    <w:p w:rsidR="00D52D4A" w:rsidRPr="00185B1F" w:rsidRDefault="00D52D4A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P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Рынок дорожной деятельности</w:t>
      </w:r>
    </w:p>
    <w:p w:rsidR="007B0623" w:rsidRPr="007B0623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623">
        <w:rPr>
          <w:rFonts w:ascii="Times New Roman" w:eastAsia="Calibri" w:hAnsi="Times New Roman" w:cs="Times New Roman"/>
          <w:b/>
          <w:sz w:val="28"/>
          <w:szCs w:val="28"/>
        </w:rPr>
        <w:t>(за исключением проектирования)</w:t>
      </w:r>
    </w:p>
    <w:p w:rsidR="007B0623" w:rsidRPr="00185B1F" w:rsidRDefault="007B0623" w:rsidP="004C2BB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0623" w:rsidRDefault="007B0623" w:rsidP="00683A4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630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46301" w:rsidRPr="00E46301">
        <w:rPr>
          <w:rFonts w:ascii="Times New Roman" w:eastAsia="Calibri" w:hAnsi="Times New Roman" w:cs="Times New Roman"/>
          <w:sz w:val="28"/>
          <w:szCs w:val="28"/>
        </w:rPr>
        <w:t>202</w:t>
      </w:r>
      <w:r w:rsidR="00480F08" w:rsidRPr="00480F08">
        <w:rPr>
          <w:rFonts w:ascii="Times New Roman" w:eastAsia="Calibri" w:hAnsi="Times New Roman" w:cs="Times New Roman"/>
          <w:sz w:val="28"/>
          <w:szCs w:val="28"/>
        </w:rPr>
        <w:t>3</w:t>
      </w:r>
      <w:r w:rsidR="00E46301" w:rsidRPr="00E46301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480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3A45">
        <w:rPr>
          <w:rFonts w:ascii="Times New Roman" w:eastAsia="Calibri" w:hAnsi="Times New Roman" w:cs="Times New Roman"/>
          <w:sz w:val="28"/>
          <w:szCs w:val="28"/>
        </w:rPr>
        <w:t>в</w:t>
      </w:r>
      <w:r w:rsidR="00683A45" w:rsidRPr="00683A45">
        <w:rPr>
          <w:rFonts w:ascii="Times New Roman" w:eastAsia="Calibri" w:hAnsi="Times New Roman" w:cs="Times New Roman"/>
          <w:sz w:val="28"/>
          <w:szCs w:val="28"/>
        </w:rPr>
        <w:t xml:space="preserve">ыполнены работы по капитальному ремонту автомобильных дорог общей протяженностью 4 км, в том числе: с. Большеямное, п. ст. Юрга-2, подъезд к п. Речной, п. ст. Арлюк. </w:t>
      </w:r>
      <w:r w:rsidRPr="00E46301">
        <w:rPr>
          <w:rFonts w:ascii="Times New Roman" w:eastAsia="Calibri" w:hAnsi="Times New Roman" w:cs="Times New Roman"/>
          <w:sz w:val="28"/>
          <w:szCs w:val="28"/>
        </w:rPr>
        <w:t xml:space="preserve">км. Ежегодно во всех населенных пунктах грейдируются и отсыпаются щебнем проблемные участки дорог. </w:t>
      </w:r>
      <w:proofErr w:type="gramStart"/>
      <w:r w:rsidRPr="00E46301">
        <w:rPr>
          <w:rFonts w:ascii="Times New Roman" w:eastAsia="Calibri" w:hAnsi="Times New Roman" w:cs="Times New Roman"/>
          <w:sz w:val="28"/>
          <w:szCs w:val="28"/>
        </w:rPr>
        <w:t>Производится ямочный ремонт дорог</w:t>
      </w:r>
      <w:r w:rsidR="00683A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3A45" w:rsidRPr="00683A45">
        <w:rPr>
          <w:rFonts w:ascii="Times New Roman" w:eastAsia="Calibri" w:hAnsi="Times New Roman" w:cs="Times New Roman"/>
          <w:sz w:val="28"/>
          <w:szCs w:val="28"/>
        </w:rPr>
        <w:t>проведены работы по устройству выравнивающего слоя из асфальтобетонной смеси и ямочному ремонту дорог по школьным маршрутам на площади 4,5 тыс. кв. м. на общую сумму 5 млн. рублей, а также выполнены работы по отсыпке автомобильных дорог инертными материалами в объеме более 11 тыс. тонн на общую сумму</w:t>
      </w:r>
      <w:r w:rsidR="00683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3A45" w:rsidRPr="00683A45">
        <w:rPr>
          <w:rFonts w:ascii="Times New Roman" w:eastAsia="Calibri" w:hAnsi="Times New Roman" w:cs="Times New Roman"/>
          <w:sz w:val="28"/>
          <w:szCs w:val="28"/>
        </w:rPr>
        <w:t>4,3 млн. рублей.</w:t>
      </w:r>
      <w:proofErr w:type="gramEnd"/>
      <w:r w:rsidR="00683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6301">
        <w:rPr>
          <w:rFonts w:ascii="Times New Roman" w:eastAsia="Calibri" w:hAnsi="Times New Roman" w:cs="Times New Roman"/>
          <w:sz w:val="28"/>
          <w:szCs w:val="28"/>
        </w:rPr>
        <w:t xml:space="preserve"> Особое внимание уделяется улицам, по которым проходят школьные маршруты.</w:t>
      </w:r>
      <w:r w:rsidRPr="00E46301">
        <w:rPr>
          <w:rFonts w:ascii="Times New Roman" w:eastAsia="Calibri" w:hAnsi="Times New Roman" w:cs="Times New Roman"/>
          <w:sz w:val="28"/>
          <w:szCs w:val="28"/>
        </w:rPr>
        <w:tab/>
      </w:r>
      <w:r w:rsidR="00683A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83A45" w:rsidRPr="00683A45">
        <w:rPr>
          <w:rFonts w:ascii="Times New Roman" w:eastAsia="Calibri" w:hAnsi="Times New Roman" w:cs="Times New Roman"/>
          <w:sz w:val="28"/>
          <w:szCs w:val="28"/>
        </w:rPr>
        <w:t>В рамках мероприятий по повышению уровня безопасности дорожного движения на территории округа приведены в соответствие пешеходные переходы в районе</w:t>
      </w:r>
      <w:proofErr w:type="gramEnd"/>
      <w:r w:rsidR="00683A45" w:rsidRPr="00683A45">
        <w:rPr>
          <w:rFonts w:ascii="Times New Roman" w:eastAsia="Calibri" w:hAnsi="Times New Roman" w:cs="Times New Roman"/>
          <w:sz w:val="28"/>
          <w:szCs w:val="28"/>
        </w:rPr>
        <w:t xml:space="preserve"> 4-х образовательных учреждений – обустроены подходы, установлено дополнительное освещение и удерживающее пешеходное ограждение, обустроены искусственные неровности, установлены дорожные знаки, нанесена дорожная разметка. На эти мероприятия направлено 7 миллионов 400 тысяч рублей бюджетных средств, в том числе из средств муниципального бюджета – 2,4 млн. рублей</w:t>
      </w:r>
      <w:r w:rsidR="00683A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0623" w:rsidRDefault="007B0623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623">
        <w:rPr>
          <w:rFonts w:ascii="Times New Roman" w:eastAsia="Calibri" w:hAnsi="Times New Roman" w:cs="Times New Roman"/>
          <w:sz w:val="28"/>
          <w:szCs w:val="28"/>
        </w:rPr>
        <w:t>Проблемы рынка дорожной деятельности: несоответствие существующей сети автомобильных дорог общего пользования регионального или межмуниципального значения современным требованиям, обусловленное недостаточной плотностью дорог; техническим состоянием отдельных участков автомобильных дорог не соответствующим техническим нормам и возросшей интенсивности движения.</w:t>
      </w:r>
    </w:p>
    <w:p w:rsidR="00E86071" w:rsidRDefault="00E86071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071" w:rsidRPr="00E86071" w:rsidRDefault="00E86071" w:rsidP="00E86071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071">
        <w:rPr>
          <w:rFonts w:ascii="Times New Roman" w:eastAsia="Calibri" w:hAnsi="Times New Roman" w:cs="Times New Roman"/>
          <w:b/>
          <w:sz w:val="28"/>
          <w:szCs w:val="28"/>
        </w:rPr>
        <w:t>Рынок вылова водных ресурсов</w:t>
      </w:r>
    </w:p>
    <w:p w:rsidR="00E86071" w:rsidRPr="007B0623" w:rsidRDefault="00E86071" w:rsidP="007B0623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0623" w:rsidRDefault="00C77D7A" w:rsidP="00C77D7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D7A">
        <w:rPr>
          <w:rFonts w:ascii="Times New Roman" w:eastAsia="Calibri" w:hAnsi="Times New Roman" w:cs="Times New Roman"/>
          <w:sz w:val="28"/>
          <w:szCs w:val="28"/>
        </w:rPr>
        <w:t xml:space="preserve">На 01.01.2024 г. на территории Юргинского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выловом водных биоресурсов </w:t>
      </w:r>
      <w:r w:rsidRPr="00C77D7A">
        <w:rPr>
          <w:rFonts w:ascii="Times New Roman" w:eastAsia="Calibri" w:hAnsi="Times New Roman" w:cs="Times New Roman"/>
          <w:sz w:val="28"/>
          <w:szCs w:val="28"/>
        </w:rPr>
        <w:t xml:space="preserve">занимаются </w:t>
      </w:r>
      <w:r>
        <w:rPr>
          <w:rFonts w:ascii="Times New Roman" w:eastAsia="Calibri" w:hAnsi="Times New Roman" w:cs="Times New Roman"/>
          <w:sz w:val="28"/>
          <w:szCs w:val="28"/>
        </w:rPr>
        <w:t>ООО «Сибирская рыбопромысловая компания» (д. Васильевка) и ИП попов Андрей Александрович (д. Зимник).</w:t>
      </w:r>
      <w:r w:rsidRPr="00C77D7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7D7A" w:rsidRDefault="00C77D7A" w:rsidP="00C77D7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ACF" w:rsidRPr="00474ACF" w:rsidRDefault="00474ACF" w:rsidP="00474ACF">
      <w:pPr>
        <w:spacing w:after="0" w:line="259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ACF">
        <w:rPr>
          <w:rFonts w:ascii="Times New Roman" w:eastAsia="Calibri" w:hAnsi="Times New Roman" w:cs="Times New Roman"/>
          <w:b/>
          <w:sz w:val="28"/>
          <w:szCs w:val="28"/>
        </w:rPr>
        <w:t>Рынок повышения уровня финансовой грамотности</w:t>
      </w:r>
    </w:p>
    <w:p w:rsidR="00474ACF" w:rsidRDefault="00474ACF" w:rsidP="00C77D7A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Юргинском муниципальном </w:t>
      </w:r>
      <w:r w:rsidRPr="00DA2B76">
        <w:rPr>
          <w:rFonts w:ascii="Times New Roman" w:eastAsia="Calibri" w:hAnsi="Times New Roman" w:cs="Times New Roman"/>
          <w:sz w:val="28"/>
          <w:szCs w:val="28"/>
        </w:rPr>
        <w:t>округе в 202</w:t>
      </w:r>
      <w:r w:rsidR="004C5971">
        <w:rPr>
          <w:rFonts w:ascii="Times New Roman" w:eastAsia="Calibri" w:hAnsi="Times New Roman" w:cs="Times New Roman"/>
          <w:sz w:val="28"/>
          <w:szCs w:val="28"/>
        </w:rPr>
        <w:t>3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году для ознакомления граждан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современными технологиями и устройством финансового рынка разработан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реализуется План мероприятий по повышению финансовой грамотности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Юргинского муниципального </w:t>
      </w:r>
      <w:r w:rsidRPr="00DA2B76">
        <w:rPr>
          <w:rFonts w:ascii="Times New Roman" w:eastAsia="Calibri" w:hAnsi="Times New Roman" w:cs="Times New Roman"/>
          <w:sz w:val="28"/>
          <w:szCs w:val="28"/>
        </w:rPr>
        <w:t>округа, утвержденный постановлением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Юргинско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го округа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от 31</w:t>
      </w:r>
      <w:r w:rsidRPr="00DA2B76">
        <w:rPr>
          <w:rFonts w:ascii="Times New Roman" w:eastAsia="Calibri" w:hAnsi="Times New Roman" w:cs="Times New Roman"/>
          <w:sz w:val="28"/>
          <w:szCs w:val="28"/>
        </w:rPr>
        <w:t>.</w:t>
      </w:r>
      <w:r w:rsidR="004C5971">
        <w:rPr>
          <w:rFonts w:ascii="Times New Roman" w:eastAsia="Calibri" w:hAnsi="Times New Roman" w:cs="Times New Roman"/>
          <w:sz w:val="28"/>
          <w:szCs w:val="28"/>
        </w:rPr>
        <w:t>03</w:t>
      </w:r>
      <w:r w:rsidRPr="00DA2B76">
        <w:rPr>
          <w:rFonts w:ascii="Times New Roman" w:eastAsia="Calibri" w:hAnsi="Times New Roman" w:cs="Times New Roman"/>
          <w:sz w:val="28"/>
          <w:szCs w:val="28"/>
        </w:rPr>
        <w:t>.202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3 № 195, 26.12.2023 № 850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(далее – План).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соответствии с Планом регулярно проводится информационно-разъяснительная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работа среди горожан, направленная на повышение уровня осведомленности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населения в вопросах безопасного и грамотного распоряжения собственными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средствами.</w:t>
      </w: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Действующий План скоординировал действия органов местного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самоуправления, налоговых органов, финансовых и страховых организаций,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образовательных учреждений, направленные на повышение финансовой культуры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различных слоев населения.</w:t>
      </w:r>
    </w:p>
    <w:p w:rsidR="004C5971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В 2023 году учреждениями образования было проведено более </w:t>
      </w:r>
      <w:r w:rsidR="00B1603D">
        <w:rPr>
          <w:rFonts w:ascii="Times New Roman" w:eastAsia="Calibri" w:hAnsi="Times New Roman" w:cs="Times New Roman"/>
          <w:sz w:val="28"/>
          <w:szCs w:val="28"/>
        </w:rPr>
        <w:t xml:space="preserve">тысячи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мероприятий для учащихся, с охватом </w:t>
      </w:r>
      <w:r w:rsidR="00B1603D">
        <w:rPr>
          <w:rFonts w:ascii="Times New Roman" w:eastAsia="Calibri" w:hAnsi="Times New Roman" w:cs="Times New Roman"/>
          <w:sz w:val="28"/>
          <w:szCs w:val="28"/>
        </w:rPr>
        <w:t>около 8</w:t>
      </w:r>
      <w:bookmarkStart w:id="104" w:name="_GoBack"/>
      <w:bookmarkEnd w:id="104"/>
      <w:r w:rsidR="00B1603D">
        <w:rPr>
          <w:rFonts w:ascii="Times New Roman" w:eastAsia="Calibri" w:hAnsi="Times New Roman" w:cs="Times New Roman"/>
          <w:sz w:val="28"/>
          <w:szCs w:val="28"/>
        </w:rPr>
        <w:t xml:space="preserve"> 000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  <w:proofErr w:type="gramStart"/>
      <w:r w:rsidRPr="00DA2B76">
        <w:rPr>
          <w:rFonts w:ascii="Times New Roman" w:eastAsia="Calibri" w:hAnsi="Times New Roman" w:cs="Times New Roman"/>
          <w:sz w:val="28"/>
          <w:szCs w:val="28"/>
        </w:rPr>
        <w:t>Информация</w:t>
      </w:r>
      <w:r w:rsidR="00B160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реализовывалась на уроках, классных и информационных часах, беседах, деловых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играх,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играх, онлайн уроках, онлайн-викторинах, интерактивных играх,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практикумах, встречах с сотрудниками банков, экскурсиях, круглых столах.</w:t>
      </w:r>
      <w:proofErr w:type="gramEnd"/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Знакомство с основами финансовой грамотности, формирование первичных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знаний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у дошкольников</w:t>
      </w:r>
      <w:r w:rsidR="004C5971">
        <w:rPr>
          <w:rFonts w:ascii="Times New Roman" w:eastAsia="Calibri" w:hAnsi="Times New Roman" w:cs="Times New Roman"/>
          <w:sz w:val="28"/>
          <w:szCs w:val="28"/>
        </w:rPr>
        <w:t>.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В целях повышения финансовой культуры населения проводились</w:t>
      </w:r>
    </w:p>
    <w:p w:rsidR="00DA2B76" w:rsidRPr="00DA2B7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родительские собрания,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>, онлайн беседы, анкетирования, консультации,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распространение информационных памяток через родительские чаты, встречи с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представителями банковского сектора. Данными формами было охвачено 3295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родителей. Для 2715 сотрудников были проведены информационные совещания,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беседы по темам финансовой грамотности,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>, практикумы, встречи с</w:t>
      </w:r>
      <w:r w:rsidR="004C59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представителями банков ВТБ, Сбербанка,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Совкомбанка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>, ПАО Банк «Открытие».</w:t>
      </w:r>
    </w:p>
    <w:p w:rsidR="00DA2B76" w:rsidRPr="00DA2B76" w:rsidRDefault="004C5971" w:rsidP="00407FF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сентябре 2023 г. 4 сотрудника прошли обучение по финансовой грамотности 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на базе алтайского филиала ФГОБУ </w:t>
      </w:r>
      <w:proofErr w:type="gramStart"/>
      <w:r w:rsidR="00407FF6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="00407FF6">
        <w:rPr>
          <w:rFonts w:ascii="Times New Roman" w:eastAsia="Calibri" w:hAnsi="Times New Roman" w:cs="Times New Roman"/>
          <w:sz w:val="28"/>
          <w:szCs w:val="28"/>
        </w:rPr>
        <w:t xml:space="preserve"> «Финансовый университет при Правительстве российской Федерации». 23.06.2023 сотрудники администрации Юргинского муниципального округа приняли участие во Всероссийском конкурсе финансовой журналистики «Рублевая зона», 05.12.2023 в  торжественном мероприятие, посвященном Дню банковского работника и Международному дню добровольцев.</w:t>
      </w:r>
    </w:p>
    <w:p w:rsidR="00407FF6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lastRenderedPageBreak/>
        <w:t>Повышению финансовой грамотности способствовали разработка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социального ролика о последствиях кредитования в МФО, его регулярное</w:t>
      </w:r>
      <w:r w:rsidR="004213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размещение на информационных табло наиболее посещаемых организаций, на всех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сайтах бюджетных учреждений и в средствах массовой информации на правах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социальной рекламы, распространение информации о записанных для населения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2B76">
        <w:rPr>
          <w:rFonts w:ascii="Times New Roman" w:eastAsia="Calibri" w:hAnsi="Times New Roman" w:cs="Times New Roman"/>
          <w:sz w:val="28"/>
          <w:szCs w:val="28"/>
        </w:rPr>
        <w:t>аудиоуроках</w:t>
      </w:r>
      <w:proofErr w:type="spellEnd"/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по повышению финансовой грамотности. </w:t>
      </w:r>
    </w:p>
    <w:p w:rsidR="00474ACF" w:rsidRPr="00C77D7A" w:rsidRDefault="00DA2B76" w:rsidP="00DA2B76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2B76">
        <w:rPr>
          <w:rFonts w:ascii="Times New Roman" w:eastAsia="Calibri" w:hAnsi="Times New Roman" w:cs="Times New Roman"/>
          <w:sz w:val="28"/>
          <w:szCs w:val="28"/>
        </w:rPr>
        <w:t>На официальном сайте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407FF6">
        <w:rPr>
          <w:rFonts w:ascii="Times New Roman" w:eastAsia="Calibri" w:hAnsi="Times New Roman" w:cs="Times New Roman"/>
          <w:sz w:val="28"/>
          <w:szCs w:val="28"/>
        </w:rPr>
        <w:t>Юргинского муниципального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 округа и на сайтах всех бюджетных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учреждений созданы специальные разделы «Финансовая грамотность», в которых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ежемесячно размещается актуальная информация об изменениях на финансовом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 xml:space="preserve">рынке, касающихся граждан. В печатных СМИ регулярно доводится до </w:t>
      </w:r>
      <w:proofErr w:type="spellStart"/>
      <w:r w:rsidR="00407FF6">
        <w:rPr>
          <w:rFonts w:ascii="Times New Roman" w:eastAsia="Calibri" w:hAnsi="Times New Roman" w:cs="Times New Roman"/>
          <w:sz w:val="28"/>
          <w:szCs w:val="28"/>
        </w:rPr>
        <w:t>Юргинцев</w:t>
      </w:r>
      <w:proofErr w:type="spellEnd"/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аналогичные сведения. Информация предупреждающего характера размещена в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торговых центрах, коммерческом транспорте и информационных досках</w:t>
      </w:r>
      <w:r w:rsidR="00407F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2B76">
        <w:rPr>
          <w:rFonts w:ascii="Times New Roman" w:eastAsia="Calibri" w:hAnsi="Times New Roman" w:cs="Times New Roman"/>
          <w:sz w:val="28"/>
          <w:szCs w:val="28"/>
        </w:rPr>
        <w:t>предприятий.</w:t>
      </w:r>
      <w:r w:rsidRPr="00DA2B76">
        <w:rPr>
          <w:rFonts w:ascii="Times New Roman" w:eastAsia="Calibri" w:hAnsi="Times New Roman" w:cs="Times New Roman"/>
          <w:sz w:val="28"/>
          <w:szCs w:val="28"/>
        </w:rPr>
        <w:cr/>
      </w:r>
    </w:p>
    <w:p w:rsidR="00DF6974" w:rsidRDefault="00DF6974"/>
    <w:sectPr w:rsidR="00DF6974" w:rsidSect="00E46301">
      <w:headerReference w:type="default" r:id="rId21"/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E2" w:rsidRDefault="00665DE2">
      <w:pPr>
        <w:spacing w:after="0" w:line="240" w:lineRule="auto"/>
      </w:pPr>
      <w:r>
        <w:separator/>
      </w:r>
    </w:p>
  </w:endnote>
  <w:endnote w:type="continuationSeparator" w:id="0">
    <w:p w:rsidR="00665DE2" w:rsidRDefault="0066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E2" w:rsidRDefault="00665DE2">
      <w:pPr>
        <w:spacing w:after="0" w:line="240" w:lineRule="auto"/>
      </w:pPr>
      <w:r>
        <w:separator/>
      </w:r>
    </w:p>
  </w:footnote>
  <w:footnote w:type="continuationSeparator" w:id="0">
    <w:p w:rsidR="00665DE2" w:rsidRDefault="00665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0434"/>
      <w:docPartObj>
        <w:docPartGallery w:val="Page Numbers (Top of Page)"/>
        <w:docPartUnique/>
      </w:docPartObj>
    </w:sdtPr>
    <w:sdtEndPr/>
    <w:sdtContent>
      <w:p w:rsidR="00DA2B76" w:rsidRDefault="00DA2B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03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A2B76" w:rsidRDefault="00DA2B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B9E"/>
    <w:multiLevelType w:val="hybridMultilevel"/>
    <w:tmpl w:val="BD2CBD84"/>
    <w:lvl w:ilvl="0" w:tplc="11E62476"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235E0DA9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0885E2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0E29D8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0435CE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4C"/>
    <w:rsid w:val="00000C91"/>
    <w:rsid w:val="00026876"/>
    <w:rsid w:val="000B3910"/>
    <w:rsid w:val="00114A07"/>
    <w:rsid w:val="00133D4D"/>
    <w:rsid w:val="00161A8B"/>
    <w:rsid w:val="00185B1F"/>
    <w:rsid w:val="00210169"/>
    <w:rsid w:val="00224F19"/>
    <w:rsid w:val="002371C6"/>
    <w:rsid w:val="00246721"/>
    <w:rsid w:val="00247C99"/>
    <w:rsid w:val="002603AD"/>
    <w:rsid w:val="002C0928"/>
    <w:rsid w:val="002C5D9C"/>
    <w:rsid w:val="002E163F"/>
    <w:rsid w:val="002F05F8"/>
    <w:rsid w:val="00363273"/>
    <w:rsid w:val="003641D6"/>
    <w:rsid w:val="00393014"/>
    <w:rsid w:val="003C70FD"/>
    <w:rsid w:val="00407FF6"/>
    <w:rsid w:val="004213F1"/>
    <w:rsid w:val="004338B0"/>
    <w:rsid w:val="00452E73"/>
    <w:rsid w:val="0047114C"/>
    <w:rsid w:val="00474ACF"/>
    <w:rsid w:val="00480F08"/>
    <w:rsid w:val="004864B9"/>
    <w:rsid w:val="004B0C01"/>
    <w:rsid w:val="004B179C"/>
    <w:rsid w:val="004C2BB5"/>
    <w:rsid w:val="004C5971"/>
    <w:rsid w:val="00515B31"/>
    <w:rsid w:val="0052020B"/>
    <w:rsid w:val="005B709D"/>
    <w:rsid w:val="005D44A1"/>
    <w:rsid w:val="00637ED7"/>
    <w:rsid w:val="00665DE2"/>
    <w:rsid w:val="00677CFD"/>
    <w:rsid w:val="00683A45"/>
    <w:rsid w:val="006F50FE"/>
    <w:rsid w:val="00710BE1"/>
    <w:rsid w:val="007123A1"/>
    <w:rsid w:val="0071509D"/>
    <w:rsid w:val="00743D52"/>
    <w:rsid w:val="00755E22"/>
    <w:rsid w:val="00766B42"/>
    <w:rsid w:val="0078655C"/>
    <w:rsid w:val="007A59FB"/>
    <w:rsid w:val="007B0623"/>
    <w:rsid w:val="007B3AEB"/>
    <w:rsid w:val="00826900"/>
    <w:rsid w:val="00893B0F"/>
    <w:rsid w:val="008964E8"/>
    <w:rsid w:val="008C3ABB"/>
    <w:rsid w:val="008F7EF5"/>
    <w:rsid w:val="0093161A"/>
    <w:rsid w:val="00955FF0"/>
    <w:rsid w:val="00956EDD"/>
    <w:rsid w:val="00976149"/>
    <w:rsid w:val="00AD0320"/>
    <w:rsid w:val="00B07DBA"/>
    <w:rsid w:val="00B1603D"/>
    <w:rsid w:val="00BD43E8"/>
    <w:rsid w:val="00C22429"/>
    <w:rsid w:val="00C35E4B"/>
    <w:rsid w:val="00C36D79"/>
    <w:rsid w:val="00C70A3A"/>
    <w:rsid w:val="00C77D7A"/>
    <w:rsid w:val="00CF3933"/>
    <w:rsid w:val="00CF63E1"/>
    <w:rsid w:val="00D52015"/>
    <w:rsid w:val="00D52D4A"/>
    <w:rsid w:val="00D6208F"/>
    <w:rsid w:val="00D67BA0"/>
    <w:rsid w:val="00D767A9"/>
    <w:rsid w:val="00D85545"/>
    <w:rsid w:val="00D86228"/>
    <w:rsid w:val="00D97157"/>
    <w:rsid w:val="00DA2B76"/>
    <w:rsid w:val="00DA67FE"/>
    <w:rsid w:val="00DA7256"/>
    <w:rsid w:val="00DE19F0"/>
    <w:rsid w:val="00DE6089"/>
    <w:rsid w:val="00DF6974"/>
    <w:rsid w:val="00E23B1B"/>
    <w:rsid w:val="00E46301"/>
    <w:rsid w:val="00E86071"/>
    <w:rsid w:val="00EE73D6"/>
    <w:rsid w:val="00EE79F1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623"/>
  </w:style>
  <w:style w:type="paragraph" w:styleId="a5">
    <w:name w:val="Balloon Text"/>
    <w:basedOn w:val="a"/>
    <w:link w:val="a6"/>
    <w:uiPriority w:val="99"/>
    <w:semiHidden/>
    <w:unhideWhenUsed/>
    <w:rsid w:val="004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B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CF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0928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5D44A1"/>
    <w:pPr>
      <w:spacing w:after="0" w:line="240" w:lineRule="auto"/>
      <w:ind w:right="-1192" w:firstLine="709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toc 1"/>
    <w:basedOn w:val="a"/>
    <w:next w:val="a"/>
    <w:semiHidden/>
    <w:rsid w:val="005D44A1"/>
    <w:pPr>
      <w:spacing w:after="0" w:line="220" w:lineRule="exact"/>
    </w:pPr>
    <w:rPr>
      <w:rFonts w:ascii="Arial Narrow" w:eastAsia="Times New Roman" w:hAnsi="Arial Narro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0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0623"/>
  </w:style>
  <w:style w:type="paragraph" w:styleId="a5">
    <w:name w:val="Balloon Text"/>
    <w:basedOn w:val="a"/>
    <w:link w:val="a6"/>
    <w:uiPriority w:val="99"/>
    <w:semiHidden/>
    <w:unhideWhenUsed/>
    <w:rsid w:val="004C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BB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7CF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C0928"/>
    <w:rPr>
      <w:color w:val="800080" w:themeColor="followedHyperlink"/>
      <w:u w:val="single"/>
    </w:rPr>
  </w:style>
  <w:style w:type="paragraph" w:customStyle="1" w:styleId="21">
    <w:name w:val="Основной текст 21"/>
    <w:basedOn w:val="a"/>
    <w:rsid w:val="005D44A1"/>
    <w:pPr>
      <w:spacing w:after="0" w:line="240" w:lineRule="auto"/>
      <w:ind w:right="-1192" w:firstLine="709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1">
    <w:name w:val="toc 1"/>
    <w:basedOn w:val="a"/>
    <w:next w:val="a"/>
    <w:semiHidden/>
    <w:rsid w:val="005D44A1"/>
    <w:pPr>
      <w:spacing w:after="0" w:line="220" w:lineRule="exact"/>
    </w:pPr>
    <w:rPr>
      <w:rFonts w:ascii="Arial Narrow" w:eastAsia="Times New Roman" w:hAnsi="Arial Narro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rgregion.ru/index.php?id=10245" TargetMode="External"/><Relationship Id="rId13" Type="http://schemas.openxmlformats.org/officeDocument/2006/relationships/hyperlink" Target="http://yurgregion.ru/index.php?id=10749" TargetMode="External"/><Relationship Id="rId18" Type="http://schemas.openxmlformats.org/officeDocument/2006/relationships/hyperlink" Target="http://yurgregion.ru/index.php?id=11278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yurgregion.ru/index.php?id=15313" TargetMode="External"/><Relationship Id="rId17" Type="http://schemas.openxmlformats.org/officeDocument/2006/relationships/hyperlink" Target="http://yurgregion.ru/files/docs/resh/2021/resh_2021-04-22_107-NA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yurgregion.ru/index.php?id=11778" TargetMode="External"/><Relationship Id="rId20" Type="http://schemas.openxmlformats.org/officeDocument/2006/relationships/hyperlink" Target="http://yurgregion.ru/index.php?id=977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urgregion.ru/index.php?id=56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urgregion.ru/files/docs/rasp/2019/11/rasp_30102019_452-r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yurgregion.ru/index.php?id=10251" TargetMode="External"/><Relationship Id="rId19" Type="http://schemas.openxmlformats.org/officeDocument/2006/relationships/hyperlink" Target="http://yurgregion.ru/index.php?id=78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urgregion.ru/index.php?id=11916" TargetMode="External"/><Relationship Id="rId14" Type="http://schemas.openxmlformats.org/officeDocument/2006/relationships/hyperlink" Target="http://yurgregion.ru/index.php?id=102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20</Pages>
  <Words>6205</Words>
  <Characters>35372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 Наталья Владимировна</dc:creator>
  <cp:keywords/>
  <dc:description/>
  <cp:lastModifiedBy>Ecomik</cp:lastModifiedBy>
  <cp:revision>37</cp:revision>
  <cp:lastPrinted>2024-06-05T01:14:00Z</cp:lastPrinted>
  <dcterms:created xsi:type="dcterms:W3CDTF">2023-02-16T03:48:00Z</dcterms:created>
  <dcterms:modified xsi:type="dcterms:W3CDTF">2024-06-10T01:34:00Z</dcterms:modified>
</cp:coreProperties>
</file>