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C90" w:rsidRPr="00154227" w:rsidRDefault="008C5C90" w:rsidP="008C5C90">
      <w:pPr>
        <w:spacing w:after="0" w:line="240" w:lineRule="auto"/>
        <w:ind w:firstLine="709"/>
        <w:contextualSpacing/>
        <w:jc w:val="center"/>
        <w:rPr>
          <w:rFonts w:ascii="Times New Roman" w:hAnsi="Times New Roman" w:cs="Times New Roman"/>
          <w:i/>
          <w:color w:val="FF0000"/>
        </w:rPr>
      </w:pPr>
      <w:r w:rsidRPr="00154227">
        <w:rPr>
          <w:rFonts w:ascii="Times New Roman" w:hAnsi="Times New Roman" w:cs="Times New Roman"/>
          <w:b/>
          <w:i/>
        </w:rPr>
        <w:t>пункт 1.6. Плана работы Ревизионной комиссии Юргинского муниципального округа  на 2024 год</w:t>
      </w:r>
    </w:p>
    <w:p w:rsidR="008C5C90" w:rsidRPr="00154227" w:rsidRDefault="008C5C90" w:rsidP="008C5C90">
      <w:pPr>
        <w:spacing w:after="0" w:line="240" w:lineRule="auto"/>
        <w:ind w:firstLine="709"/>
        <w:contextualSpacing/>
        <w:jc w:val="both"/>
        <w:rPr>
          <w:b/>
          <w:i/>
        </w:rPr>
      </w:pPr>
    </w:p>
    <w:p w:rsidR="008C5C90" w:rsidRPr="008C5C90" w:rsidRDefault="008C5C90" w:rsidP="008C5C90">
      <w:pPr>
        <w:spacing w:after="0" w:line="240" w:lineRule="auto"/>
        <w:ind w:firstLine="709"/>
        <w:contextualSpacing/>
        <w:jc w:val="center"/>
        <w:rPr>
          <w:rFonts w:ascii="Times New Roman" w:hAnsi="Times New Roman" w:cs="Times New Roman"/>
          <w:b/>
          <w:sz w:val="24"/>
          <w:szCs w:val="24"/>
        </w:rPr>
      </w:pPr>
      <w:r w:rsidRPr="008C5C90">
        <w:rPr>
          <w:rFonts w:ascii="Times New Roman" w:hAnsi="Times New Roman" w:cs="Times New Roman"/>
          <w:b/>
          <w:sz w:val="24"/>
          <w:szCs w:val="24"/>
        </w:rPr>
        <w:t>«Проверка целевого и эффективного использования бюджетных средств, направленных на осуществление финансово-хозяйственной деятельности Муниципального автономного учреждения «Редакция газеты «</w:t>
      </w:r>
      <w:proofErr w:type="spellStart"/>
      <w:r w:rsidRPr="008C5C90">
        <w:rPr>
          <w:rFonts w:ascii="Times New Roman" w:hAnsi="Times New Roman" w:cs="Times New Roman"/>
          <w:b/>
          <w:sz w:val="24"/>
          <w:szCs w:val="24"/>
        </w:rPr>
        <w:t>Юргинские</w:t>
      </w:r>
      <w:proofErr w:type="spellEnd"/>
      <w:r w:rsidRPr="008C5C90">
        <w:rPr>
          <w:rFonts w:ascii="Times New Roman" w:hAnsi="Times New Roman" w:cs="Times New Roman"/>
          <w:b/>
          <w:sz w:val="24"/>
          <w:szCs w:val="24"/>
        </w:rPr>
        <w:t xml:space="preserve"> ведомости»»</w:t>
      </w:r>
    </w:p>
    <w:p w:rsidR="008C5C90" w:rsidRPr="00154227" w:rsidRDefault="008C5C90" w:rsidP="008C5C90">
      <w:pPr>
        <w:spacing w:after="0" w:line="240" w:lineRule="auto"/>
        <w:ind w:firstLine="709"/>
        <w:contextualSpacing/>
        <w:jc w:val="center"/>
        <w:rPr>
          <w:rFonts w:ascii="Times New Roman" w:hAnsi="Times New Roman" w:cs="Times New Roman"/>
        </w:rPr>
      </w:pPr>
    </w:p>
    <w:p w:rsidR="008C5C90" w:rsidRPr="00154227" w:rsidRDefault="008C5C90" w:rsidP="008C5C90">
      <w:pPr>
        <w:spacing w:after="0" w:line="240" w:lineRule="auto"/>
        <w:ind w:firstLine="709"/>
        <w:contextualSpacing/>
        <w:rPr>
          <w:rFonts w:ascii="Times New Roman" w:hAnsi="Times New Roman" w:cs="Times New Roman"/>
        </w:rPr>
      </w:pPr>
      <w:r w:rsidRPr="00154227">
        <w:rPr>
          <w:rFonts w:ascii="Times New Roman" w:hAnsi="Times New Roman" w:cs="Times New Roman"/>
        </w:rPr>
        <w:t>Проверяемый период: 2023 год.</w:t>
      </w:r>
    </w:p>
    <w:p w:rsidR="008C5C90" w:rsidRPr="00154227" w:rsidRDefault="008C5C90" w:rsidP="008C5C90">
      <w:pPr>
        <w:ind w:firstLine="708"/>
        <w:rPr>
          <w:rFonts w:ascii="Times New Roman" w:hAnsi="Times New Roman" w:cs="Times New Roman"/>
        </w:rPr>
      </w:pPr>
      <w:r w:rsidRPr="00154227">
        <w:rPr>
          <w:rFonts w:ascii="Times New Roman" w:hAnsi="Times New Roman" w:cs="Times New Roman"/>
        </w:rPr>
        <w:t>Объект  проверки:  Муниципальное автономное учреждение «Редакция газеты «</w:t>
      </w:r>
      <w:proofErr w:type="spellStart"/>
      <w:r w:rsidRPr="00154227">
        <w:rPr>
          <w:rFonts w:ascii="Times New Roman" w:hAnsi="Times New Roman" w:cs="Times New Roman"/>
        </w:rPr>
        <w:t>Юргинские</w:t>
      </w:r>
      <w:proofErr w:type="spellEnd"/>
      <w:r w:rsidRPr="00154227">
        <w:rPr>
          <w:rFonts w:ascii="Times New Roman" w:hAnsi="Times New Roman" w:cs="Times New Roman"/>
        </w:rPr>
        <w:t xml:space="preserve"> ведомости»</w:t>
      </w:r>
    </w:p>
    <w:p w:rsidR="008C5C90" w:rsidRPr="00154227" w:rsidRDefault="008C5C90" w:rsidP="008C5C90">
      <w:pPr>
        <w:spacing w:after="0" w:line="240" w:lineRule="auto"/>
        <w:ind w:firstLine="709"/>
        <w:contextualSpacing/>
        <w:jc w:val="both"/>
        <w:rPr>
          <w:rFonts w:ascii="Times New Roman" w:hAnsi="Times New Roman" w:cs="Times New Roman"/>
        </w:rPr>
      </w:pPr>
      <w:r w:rsidRPr="00154227">
        <w:rPr>
          <w:rFonts w:ascii="Times New Roman" w:hAnsi="Times New Roman" w:cs="Times New Roman"/>
        </w:rPr>
        <w:t xml:space="preserve">Направлено предписание   № 1   от 15.08.2024  – главному редактору   С.В. Шевяковой  принять меры по устранению нарушений в срок до 25.09.2024.   </w:t>
      </w:r>
    </w:p>
    <w:p w:rsidR="008C5C90" w:rsidRPr="00154227" w:rsidRDefault="008C5C90" w:rsidP="008C5C90">
      <w:pPr>
        <w:spacing w:after="0" w:line="240" w:lineRule="auto"/>
        <w:ind w:firstLine="709"/>
        <w:contextualSpacing/>
        <w:jc w:val="both"/>
        <w:rPr>
          <w:rFonts w:ascii="Times New Roman" w:hAnsi="Times New Roman" w:cs="Times New Roman"/>
        </w:rPr>
      </w:pPr>
      <w:r w:rsidRPr="00154227">
        <w:rPr>
          <w:rFonts w:ascii="Times New Roman" w:hAnsi="Times New Roman" w:cs="Times New Roman"/>
        </w:rPr>
        <w:t>В связи  с наличием объективных причин не позволяющих исполнить предписание № 1   от 15.08.2024 в установленный срок (отсутствие ПО, централизованное обучение по работе в программе 1С)</w:t>
      </w:r>
      <w:proofErr w:type="gramStart"/>
      <w:r w:rsidRPr="00154227">
        <w:rPr>
          <w:rFonts w:ascii="Times New Roman" w:hAnsi="Times New Roman" w:cs="Times New Roman"/>
        </w:rPr>
        <w:t xml:space="preserve"> ,</w:t>
      </w:r>
      <w:proofErr w:type="gramEnd"/>
      <w:r w:rsidRPr="00154227">
        <w:rPr>
          <w:rFonts w:ascii="Times New Roman" w:hAnsi="Times New Roman" w:cs="Times New Roman"/>
        </w:rPr>
        <w:t xml:space="preserve">  удовлетворено  ходатайство главного редактора  МАУ «Редакция газеты «</w:t>
      </w:r>
      <w:proofErr w:type="spellStart"/>
      <w:r w:rsidRPr="00154227">
        <w:rPr>
          <w:rFonts w:ascii="Times New Roman" w:hAnsi="Times New Roman" w:cs="Times New Roman"/>
        </w:rPr>
        <w:t>Юргинские</w:t>
      </w:r>
      <w:proofErr w:type="spellEnd"/>
      <w:r w:rsidRPr="00154227">
        <w:rPr>
          <w:rFonts w:ascii="Times New Roman" w:hAnsi="Times New Roman" w:cs="Times New Roman"/>
        </w:rPr>
        <w:t xml:space="preserve"> ведомости»  от 24.09.2024  о продлении срока исполнения представления  до16.12.2024.</w:t>
      </w:r>
    </w:p>
    <w:p w:rsidR="008C5C90" w:rsidRPr="00154227" w:rsidRDefault="008C5C90" w:rsidP="008C5C90">
      <w:pPr>
        <w:spacing w:after="0" w:line="240" w:lineRule="auto"/>
        <w:ind w:firstLine="709"/>
        <w:contextualSpacing/>
        <w:jc w:val="both"/>
        <w:rPr>
          <w:rFonts w:ascii="Times New Roman" w:hAnsi="Times New Roman" w:cs="Times New Roman"/>
        </w:rPr>
      </w:pPr>
      <w:r w:rsidRPr="00154227">
        <w:rPr>
          <w:rFonts w:ascii="Times New Roman" w:hAnsi="Times New Roman" w:cs="Times New Roman"/>
        </w:rPr>
        <w:t>Возбуждено дело об административном правонарушении по ст. 15.15.6 КоАП, в отношении главного бухгалтера</w:t>
      </w:r>
      <w:r w:rsidRPr="00154227">
        <w:t xml:space="preserve"> </w:t>
      </w:r>
      <w:r w:rsidRPr="00154227">
        <w:rPr>
          <w:rFonts w:ascii="Times New Roman" w:hAnsi="Times New Roman" w:cs="Times New Roman"/>
        </w:rPr>
        <w:t>МАУ «Редакция газеты «</w:t>
      </w:r>
      <w:proofErr w:type="spellStart"/>
      <w:r w:rsidRPr="00154227">
        <w:rPr>
          <w:rFonts w:ascii="Times New Roman" w:hAnsi="Times New Roman" w:cs="Times New Roman"/>
        </w:rPr>
        <w:t>Юргинские</w:t>
      </w:r>
      <w:proofErr w:type="spellEnd"/>
      <w:r w:rsidRPr="00154227">
        <w:rPr>
          <w:rFonts w:ascii="Times New Roman" w:hAnsi="Times New Roman" w:cs="Times New Roman"/>
        </w:rPr>
        <w:t xml:space="preserve"> ведомости»</w:t>
      </w:r>
      <w:proofErr w:type="gramStart"/>
      <w:r w:rsidRPr="00154227">
        <w:rPr>
          <w:rFonts w:ascii="Times New Roman" w:hAnsi="Times New Roman" w:cs="Times New Roman"/>
        </w:rPr>
        <w:t xml:space="preserve">  ,</w:t>
      </w:r>
      <w:proofErr w:type="gramEnd"/>
      <w:r w:rsidRPr="00154227">
        <w:rPr>
          <w:rFonts w:ascii="Times New Roman" w:hAnsi="Times New Roman" w:cs="Times New Roman"/>
        </w:rPr>
        <w:t xml:space="preserve"> составлен протокол об административном правонарушении  от 20.08.2024 № 1.  Постановлением мирового судьи судебного участка № 2 Юргинского городского судебного района главного бухгалтера МАУ «Редакция газеты «</w:t>
      </w:r>
      <w:proofErr w:type="spellStart"/>
      <w:r w:rsidRPr="00154227">
        <w:rPr>
          <w:rFonts w:ascii="Times New Roman" w:hAnsi="Times New Roman" w:cs="Times New Roman"/>
        </w:rPr>
        <w:t>Юргинские</w:t>
      </w:r>
      <w:proofErr w:type="spellEnd"/>
      <w:r w:rsidRPr="00154227">
        <w:rPr>
          <w:rFonts w:ascii="Times New Roman" w:hAnsi="Times New Roman" w:cs="Times New Roman"/>
        </w:rPr>
        <w:t xml:space="preserve"> ведомости»  признано виновным в совершении административного правонарушения предусмотренного ч.4 ст. 15.15.6 КоАП РФ, назначено наказание в виде предупреждения.</w:t>
      </w:r>
    </w:p>
    <w:p w:rsidR="008C5C90" w:rsidRPr="00154227" w:rsidRDefault="008C5C90" w:rsidP="008C5C90">
      <w:pPr>
        <w:spacing w:after="0" w:line="240" w:lineRule="auto"/>
        <w:contextualSpacing/>
        <w:jc w:val="both"/>
      </w:pPr>
    </w:p>
    <w:tbl>
      <w:tblPr>
        <w:tblW w:w="15314" w:type="dxa"/>
        <w:tblLayout w:type="fixed"/>
        <w:tblCellMar>
          <w:left w:w="0" w:type="dxa"/>
          <w:right w:w="0" w:type="dxa"/>
        </w:tblCellMar>
        <w:tblLook w:val="0000" w:firstRow="0" w:lastRow="0" w:firstColumn="0" w:lastColumn="0" w:noHBand="0" w:noVBand="0"/>
      </w:tblPr>
      <w:tblGrid>
        <w:gridCol w:w="714"/>
        <w:gridCol w:w="2410"/>
        <w:gridCol w:w="850"/>
        <w:gridCol w:w="1276"/>
        <w:gridCol w:w="4394"/>
        <w:gridCol w:w="3119"/>
        <w:gridCol w:w="2551"/>
      </w:tblGrid>
      <w:tr w:rsidR="008C5C90" w:rsidRPr="00154227" w:rsidTr="00661AEF">
        <w:trPr>
          <w:trHeight w:val="60"/>
        </w:trPr>
        <w:tc>
          <w:tcPr>
            <w:tcW w:w="9644" w:type="dxa"/>
            <w:gridSpan w:val="5"/>
            <w:tcBorders>
              <w:top w:val="single" w:sz="4" w:space="0" w:color="auto"/>
              <w:left w:val="single" w:sz="4" w:space="0" w:color="auto"/>
              <w:bottom w:val="nil"/>
              <w:right w:val="nil"/>
            </w:tcBorders>
            <w:shd w:val="clear" w:color="auto" w:fill="FFFFFF"/>
            <w:vAlign w:val="bottom"/>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Выявлены нарушения</w:t>
            </w:r>
          </w:p>
        </w:tc>
        <w:tc>
          <w:tcPr>
            <w:tcW w:w="5670" w:type="dxa"/>
            <w:gridSpan w:val="2"/>
            <w:tcBorders>
              <w:top w:val="single" w:sz="4" w:space="0" w:color="auto"/>
              <w:left w:val="single" w:sz="4" w:space="0" w:color="auto"/>
              <w:bottom w:val="nil"/>
              <w:right w:val="single" w:sz="4" w:space="0" w:color="auto"/>
            </w:tcBorders>
            <w:shd w:val="clear" w:color="auto" w:fill="FFFFFF"/>
            <w:vAlign w:val="bottom"/>
          </w:tcPr>
          <w:p w:rsidR="008C5C90" w:rsidRPr="00154227" w:rsidRDefault="00036789" w:rsidP="00661AEF">
            <w:pPr>
              <w:spacing w:after="0" w:line="240" w:lineRule="auto"/>
              <w:ind w:left="113" w:right="113" w:firstLine="284"/>
              <w:contextualSpacing/>
              <w:jc w:val="both"/>
              <w:rPr>
                <w:rFonts w:ascii="Times New Roman" w:hAnsi="Times New Roman" w:cs="Times New Roman"/>
                <w:sz w:val="18"/>
                <w:szCs w:val="18"/>
              </w:rPr>
            </w:pPr>
            <w:r>
              <w:rPr>
                <w:rFonts w:ascii="Times New Roman" w:hAnsi="Times New Roman" w:cs="Times New Roman"/>
                <w:sz w:val="18"/>
                <w:szCs w:val="18"/>
              </w:rPr>
              <w:t xml:space="preserve">Реализация предложений </w:t>
            </w:r>
            <w:r w:rsidR="008C5C90" w:rsidRPr="00154227">
              <w:rPr>
                <w:rFonts w:ascii="Times New Roman" w:hAnsi="Times New Roman" w:cs="Times New Roman"/>
                <w:sz w:val="18"/>
                <w:szCs w:val="18"/>
              </w:rPr>
              <w:t xml:space="preserve"> Ревизионной комиссии</w:t>
            </w:r>
          </w:p>
        </w:tc>
      </w:tr>
      <w:tr w:rsidR="008C5C90" w:rsidRPr="00154227" w:rsidTr="00661AEF">
        <w:trPr>
          <w:trHeight w:val="20"/>
        </w:trPr>
        <w:tc>
          <w:tcPr>
            <w:tcW w:w="714" w:type="dxa"/>
            <w:tcBorders>
              <w:top w:val="single" w:sz="4" w:space="0" w:color="auto"/>
              <w:left w:val="single" w:sz="4" w:space="0" w:color="auto"/>
              <w:bottom w:val="single" w:sz="4" w:space="0" w:color="auto"/>
              <w:right w:val="nil"/>
            </w:tcBorders>
            <w:shd w:val="clear" w:color="auto" w:fill="FFFFFF"/>
            <w:vAlign w:val="bottom"/>
          </w:tcPr>
          <w:p w:rsidR="008C5C90" w:rsidRPr="00154227" w:rsidRDefault="008C5C90" w:rsidP="00661AEF">
            <w:pPr>
              <w:spacing w:after="0" w:line="240" w:lineRule="auto"/>
              <w:ind w:left="113" w:right="113"/>
              <w:contextualSpacing/>
              <w:jc w:val="both"/>
              <w:rPr>
                <w:rFonts w:ascii="Times New Roman" w:hAnsi="Times New Roman" w:cs="Times New Roman"/>
                <w:sz w:val="18"/>
                <w:szCs w:val="18"/>
              </w:rPr>
            </w:pPr>
            <w:r w:rsidRPr="00154227">
              <w:rPr>
                <w:rFonts w:ascii="Times New Roman" w:hAnsi="Times New Roman" w:cs="Times New Roman"/>
                <w:sz w:val="18"/>
                <w:szCs w:val="18"/>
              </w:rPr>
              <w:t>№ контрольного мероприятия</w:t>
            </w:r>
          </w:p>
        </w:tc>
        <w:tc>
          <w:tcPr>
            <w:tcW w:w="2410"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661AEF">
            <w:pPr>
              <w:spacing w:line="240" w:lineRule="auto"/>
              <w:ind w:left="113" w:right="113"/>
              <w:contextualSpacing/>
              <w:jc w:val="both"/>
              <w:rPr>
                <w:rFonts w:ascii="Times New Roman" w:hAnsi="Times New Roman" w:cs="Times New Roman"/>
                <w:sz w:val="18"/>
                <w:szCs w:val="18"/>
              </w:rPr>
            </w:pPr>
            <w:r w:rsidRPr="00154227">
              <w:rPr>
                <w:rFonts w:ascii="Times New Roman" w:hAnsi="Times New Roman" w:cs="Times New Roman"/>
                <w:sz w:val="18"/>
                <w:szCs w:val="18"/>
              </w:rPr>
              <w:t>Корреспондирующая норма</w:t>
            </w:r>
          </w:p>
        </w:tc>
        <w:tc>
          <w:tcPr>
            <w:tcW w:w="850"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661AEF">
            <w:pPr>
              <w:spacing w:line="240" w:lineRule="auto"/>
              <w:ind w:left="113" w:right="113"/>
              <w:contextualSpacing/>
              <w:jc w:val="both"/>
              <w:rPr>
                <w:rFonts w:ascii="Times New Roman" w:hAnsi="Times New Roman" w:cs="Times New Roman"/>
                <w:sz w:val="18"/>
                <w:szCs w:val="18"/>
              </w:rPr>
            </w:pPr>
            <w:r w:rsidRPr="00154227">
              <w:rPr>
                <w:rFonts w:ascii="Times New Roman" w:hAnsi="Times New Roman" w:cs="Times New Roman"/>
                <w:sz w:val="18"/>
                <w:szCs w:val="18"/>
              </w:rPr>
              <w:t>Кол-во</w:t>
            </w:r>
          </w:p>
        </w:tc>
        <w:tc>
          <w:tcPr>
            <w:tcW w:w="1276"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661AEF">
            <w:pPr>
              <w:spacing w:line="240" w:lineRule="auto"/>
              <w:ind w:left="113" w:right="113"/>
              <w:contextualSpacing/>
              <w:jc w:val="both"/>
              <w:rPr>
                <w:rFonts w:ascii="Times New Roman" w:hAnsi="Times New Roman" w:cs="Times New Roman"/>
                <w:sz w:val="18"/>
                <w:szCs w:val="18"/>
              </w:rPr>
            </w:pPr>
            <w:r w:rsidRPr="00154227">
              <w:rPr>
                <w:rFonts w:ascii="Times New Roman" w:hAnsi="Times New Roman" w:cs="Times New Roman"/>
                <w:sz w:val="18"/>
                <w:szCs w:val="18"/>
              </w:rPr>
              <w:t>Стоимостная оце</w:t>
            </w:r>
            <w:r w:rsidR="00036789">
              <w:rPr>
                <w:rFonts w:ascii="Times New Roman" w:hAnsi="Times New Roman" w:cs="Times New Roman"/>
                <w:sz w:val="18"/>
                <w:szCs w:val="18"/>
              </w:rPr>
              <w:t>нка выявленных нарушений, тыс. р</w:t>
            </w:r>
            <w:r w:rsidRPr="00154227">
              <w:rPr>
                <w:rFonts w:ascii="Times New Roman" w:hAnsi="Times New Roman" w:cs="Times New Roman"/>
                <w:sz w:val="18"/>
                <w:szCs w:val="18"/>
              </w:rPr>
              <w:t>ублей</w:t>
            </w:r>
          </w:p>
        </w:tc>
        <w:tc>
          <w:tcPr>
            <w:tcW w:w="4394"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036789">
            <w:pPr>
              <w:spacing w:line="240" w:lineRule="auto"/>
              <w:ind w:left="113" w:right="113" w:firstLine="284"/>
              <w:contextualSpacing/>
              <w:jc w:val="center"/>
              <w:rPr>
                <w:rFonts w:ascii="Times New Roman" w:hAnsi="Times New Roman" w:cs="Times New Roman"/>
                <w:sz w:val="18"/>
                <w:szCs w:val="18"/>
              </w:rPr>
            </w:pPr>
          </w:p>
          <w:p w:rsidR="008C5C90" w:rsidRPr="00154227" w:rsidRDefault="008C5C90" w:rsidP="00036789">
            <w:pPr>
              <w:spacing w:line="240" w:lineRule="auto"/>
              <w:ind w:left="113" w:right="113" w:firstLine="284"/>
              <w:contextualSpacing/>
              <w:jc w:val="center"/>
              <w:rPr>
                <w:rFonts w:ascii="Times New Roman" w:hAnsi="Times New Roman" w:cs="Times New Roman"/>
                <w:sz w:val="18"/>
                <w:szCs w:val="18"/>
              </w:rPr>
            </w:pPr>
          </w:p>
          <w:p w:rsidR="008C5C90" w:rsidRPr="00154227" w:rsidRDefault="008C5C90" w:rsidP="00036789">
            <w:pPr>
              <w:spacing w:line="240" w:lineRule="auto"/>
              <w:ind w:left="113" w:right="113" w:firstLine="284"/>
              <w:contextualSpacing/>
              <w:jc w:val="center"/>
              <w:rPr>
                <w:rFonts w:ascii="Times New Roman" w:hAnsi="Times New Roman" w:cs="Times New Roman"/>
                <w:sz w:val="18"/>
                <w:szCs w:val="18"/>
              </w:rPr>
            </w:pPr>
            <w:r w:rsidRPr="00154227">
              <w:rPr>
                <w:rFonts w:ascii="Times New Roman" w:hAnsi="Times New Roman" w:cs="Times New Roman"/>
                <w:sz w:val="18"/>
                <w:szCs w:val="18"/>
              </w:rPr>
              <w:t>Нарушение</w:t>
            </w:r>
          </w:p>
        </w:tc>
        <w:tc>
          <w:tcPr>
            <w:tcW w:w="3119" w:type="dxa"/>
            <w:tcBorders>
              <w:top w:val="single" w:sz="4" w:space="0" w:color="auto"/>
              <w:left w:val="single" w:sz="4" w:space="0" w:color="auto"/>
              <w:bottom w:val="single" w:sz="4" w:space="0" w:color="auto"/>
              <w:right w:val="nil"/>
            </w:tcBorders>
            <w:shd w:val="clear" w:color="auto" w:fill="FFFFFF"/>
            <w:vAlign w:val="center"/>
          </w:tcPr>
          <w:p w:rsidR="008C5C90" w:rsidRPr="00154227" w:rsidRDefault="008C5C90" w:rsidP="00036789">
            <w:pPr>
              <w:spacing w:after="0" w:line="240" w:lineRule="auto"/>
              <w:ind w:left="113" w:right="113" w:firstLine="284"/>
              <w:contextualSpacing/>
              <w:jc w:val="center"/>
              <w:rPr>
                <w:rFonts w:ascii="Times New Roman" w:hAnsi="Times New Roman" w:cs="Times New Roman"/>
                <w:sz w:val="18"/>
                <w:szCs w:val="18"/>
              </w:rPr>
            </w:pPr>
            <w:r w:rsidRPr="00154227">
              <w:rPr>
                <w:rFonts w:ascii="Times New Roman" w:hAnsi="Times New Roman" w:cs="Times New Roman"/>
                <w:sz w:val="18"/>
                <w:szCs w:val="18"/>
              </w:rPr>
              <w:t>Предложения</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C5C90" w:rsidRPr="00154227" w:rsidRDefault="008C5C90" w:rsidP="00036789">
            <w:pPr>
              <w:spacing w:after="0" w:line="240" w:lineRule="auto"/>
              <w:ind w:left="113" w:right="113" w:firstLine="284"/>
              <w:contextualSpacing/>
              <w:jc w:val="center"/>
              <w:rPr>
                <w:rFonts w:ascii="Times New Roman" w:hAnsi="Times New Roman" w:cs="Times New Roman"/>
                <w:sz w:val="18"/>
                <w:szCs w:val="18"/>
              </w:rPr>
            </w:pPr>
            <w:r w:rsidRPr="00154227">
              <w:rPr>
                <w:rFonts w:ascii="Times New Roman" w:hAnsi="Times New Roman" w:cs="Times New Roman"/>
                <w:sz w:val="18"/>
                <w:szCs w:val="18"/>
              </w:rPr>
              <w:t>Комментарий реализации</w:t>
            </w:r>
          </w:p>
        </w:tc>
      </w:tr>
      <w:tr w:rsidR="008C5C90" w:rsidRPr="00154227" w:rsidTr="00661AEF">
        <w:trPr>
          <w:trHeight w:val="20"/>
        </w:trPr>
        <w:tc>
          <w:tcPr>
            <w:tcW w:w="714" w:type="dxa"/>
            <w:vMerge w:val="restart"/>
            <w:tcBorders>
              <w:top w:val="single" w:sz="4" w:space="0" w:color="auto"/>
              <w:left w:val="single" w:sz="4" w:space="0" w:color="auto"/>
              <w:right w:val="nil"/>
            </w:tcBorders>
            <w:shd w:val="clear" w:color="auto" w:fill="FFFFFF"/>
          </w:tcPr>
          <w:p w:rsidR="008C5C90" w:rsidRPr="00154227" w:rsidRDefault="008C5C90" w:rsidP="00661AEF">
            <w:pPr>
              <w:spacing w:after="0" w:line="240" w:lineRule="auto"/>
              <w:ind w:left="113" w:right="113"/>
              <w:contextualSpacing/>
              <w:jc w:val="center"/>
              <w:rPr>
                <w:rFonts w:ascii="Times New Roman" w:hAnsi="Times New Roman" w:cs="Times New Roman"/>
                <w:sz w:val="18"/>
                <w:szCs w:val="18"/>
              </w:rPr>
            </w:pPr>
            <w:r w:rsidRPr="00154227">
              <w:rPr>
                <w:rFonts w:ascii="Times New Roman" w:hAnsi="Times New Roman" w:cs="Times New Roman"/>
                <w:sz w:val="18"/>
                <w:szCs w:val="18"/>
              </w:rPr>
              <w:t>1.6</w:t>
            </w:r>
          </w:p>
        </w:tc>
        <w:tc>
          <w:tcPr>
            <w:tcW w:w="2410"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roofErr w:type="gramStart"/>
            <w:r w:rsidRPr="00154227">
              <w:rPr>
                <w:rFonts w:ascii="Times New Roman" w:hAnsi="Times New Roman" w:cs="Times New Roman"/>
                <w:sz w:val="18"/>
                <w:szCs w:val="18"/>
              </w:rPr>
              <w:t>п. 2.8, п.2.12,  п. 2.13  Порядка формирования муниципального задания (Пост.</w:t>
            </w:r>
            <w:proofErr w:type="gramEnd"/>
            <w:r w:rsidRPr="00154227">
              <w:rPr>
                <w:rFonts w:ascii="Times New Roman" w:hAnsi="Times New Roman" w:cs="Times New Roman"/>
                <w:sz w:val="18"/>
                <w:szCs w:val="18"/>
              </w:rPr>
              <w:t xml:space="preserve"> </w:t>
            </w:r>
            <w:proofErr w:type="gramStart"/>
            <w:r w:rsidRPr="00154227">
              <w:rPr>
                <w:rFonts w:ascii="Times New Roman" w:hAnsi="Times New Roman" w:cs="Times New Roman"/>
                <w:sz w:val="18"/>
                <w:szCs w:val="18"/>
              </w:rPr>
              <w:t>АЮМО от 17.09.2021 № 966)</w:t>
            </w:r>
            <w:proofErr w:type="gramEnd"/>
          </w:p>
        </w:tc>
        <w:tc>
          <w:tcPr>
            <w:tcW w:w="850"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4</w:t>
            </w:r>
          </w:p>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Pr>
                <w:rFonts w:ascii="Times New Roman" w:hAnsi="Times New Roman" w:cs="Times New Roman"/>
                <w:sz w:val="18"/>
                <w:szCs w:val="18"/>
              </w:rPr>
              <w:t>М</w:t>
            </w:r>
            <w:r w:rsidRPr="00154227">
              <w:rPr>
                <w:rFonts w:ascii="Times New Roman" w:hAnsi="Times New Roman" w:cs="Times New Roman"/>
                <w:sz w:val="18"/>
                <w:szCs w:val="18"/>
              </w:rPr>
              <w:t>униципальное задание утверждено до утверждения в установленном порядке лимитов бюджетных обязатель</w:t>
            </w:r>
            <w:proofErr w:type="gramStart"/>
            <w:r w:rsidRPr="00154227">
              <w:rPr>
                <w:rFonts w:ascii="Times New Roman" w:hAnsi="Times New Roman" w:cs="Times New Roman"/>
                <w:sz w:val="18"/>
                <w:szCs w:val="18"/>
              </w:rPr>
              <w:t>ств  гл</w:t>
            </w:r>
            <w:proofErr w:type="gramEnd"/>
            <w:r w:rsidRPr="00154227">
              <w:rPr>
                <w:rFonts w:ascii="Times New Roman" w:hAnsi="Times New Roman" w:cs="Times New Roman"/>
                <w:sz w:val="18"/>
                <w:szCs w:val="18"/>
              </w:rPr>
              <w:t>авному распорядителю бюджетных средств.</w:t>
            </w:r>
          </w:p>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 xml:space="preserve">Муниципальное задание сформировано без применения  общероссийских   базовых    перечней государственных  и  муниципальных  услуг, регионального  перечня  Кемеровской области - Кузбасса государственных  (муниципальных)  услуг,  не  включенных  в общероссийские  базовые  перечни.  </w:t>
            </w:r>
          </w:p>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 xml:space="preserve">Сроки предоставления отчетов,  о выполнении муниципального задания, установленные п.п.3 ч.6  </w:t>
            </w:r>
            <w:r w:rsidRPr="00154227">
              <w:rPr>
                <w:rFonts w:ascii="Times New Roman" w:hAnsi="Times New Roman" w:cs="Times New Roman"/>
                <w:sz w:val="18"/>
                <w:szCs w:val="18"/>
              </w:rPr>
              <w:lastRenderedPageBreak/>
              <w:t xml:space="preserve">Муниципального задания  не соответствуют срокам предоставления </w:t>
            </w:r>
            <w:proofErr w:type="gramStart"/>
            <w:r w:rsidRPr="00154227">
              <w:rPr>
                <w:rFonts w:ascii="Times New Roman" w:hAnsi="Times New Roman" w:cs="Times New Roman"/>
                <w:sz w:val="18"/>
                <w:szCs w:val="18"/>
              </w:rPr>
              <w:t>отчетов</w:t>
            </w:r>
            <w:proofErr w:type="gramEnd"/>
            <w:r w:rsidRPr="00154227">
              <w:rPr>
                <w:rFonts w:ascii="Times New Roman" w:hAnsi="Times New Roman" w:cs="Times New Roman"/>
                <w:sz w:val="18"/>
                <w:szCs w:val="18"/>
              </w:rPr>
              <w:t xml:space="preserve"> утвержденным Порядком.</w:t>
            </w:r>
          </w:p>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Pr>
                <w:rFonts w:ascii="Times New Roman" w:hAnsi="Times New Roman" w:cs="Times New Roman"/>
                <w:sz w:val="18"/>
                <w:szCs w:val="18"/>
              </w:rPr>
              <w:t>Ф</w:t>
            </w:r>
            <w:r w:rsidRPr="00154227">
              <w:rPr>
                <w:rFonts w:ascii="Times New Roman" w:hAnsi="Times New Roman" w:cs="Times New Roman"/>
                <w:sz w:val="18"/>
                <w:szCs w:val="18"/>
              </w:rPr>
              <w:t xml:space="preserve">орма Отчета о выполнении муниципального задания МАУ «РГ «ЮВ» за 2023 год  не соответствует форме утвержденной Приложением 2.  </w:t>
            </w:r>
          </w:p>
        </w:tc>
        <w:tc>
          <w:tcPr>
            <w:tcW w:w="3119" w:type="dxa"/>
            <w:tcBorders>
              <w:top w:val="single" w:sz="4" w:space="0" w:color="auto"/>
              <w:left w:val="single" w:sz="4" w:space="0" w:color="auto"/>
              <w:bottom w:val="single" w:sz="4" w:space="0" w:color="auto"/>
              <w:right w:val="nil"/>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r>
      <w:tr w:rsidR="008C5C90" w:rsidRPr="00154227" w:rsidTr="00661AEF">
        <w:trPr>
          <w:trHeight w:val="20"/>
        </w:trPr>
        <w:tc>
          <w:tcPr>
            <w:tcW w:w="714" w:type="dxa"/>
            <w:vMerge/>
            <w:tcBorders>
              <w:left w:val="single" w:sz="4" w:space="0" w:color="auto"/>
              <w:right w:val="nil"/>
            </w:tcBorders>
            <w:shd w:val="clear" w:color="auto" w:fill="FFFFFF"/>
            <w:vAlign w:val="bottom"/>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ст. 158 Бюджетного кодекса</w:t>
            </w:r>
          </w:p>
        </w:tc>
        <w:tc>
          <w:tcPr>
            <w:tcW w:w="850"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nil"/>
            </w:tcBorders>
            <w:shd w:val="clear" w:color="auto" w:fill="FFFFFF"/>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 xml:space="preserve">Ненадлежащее исполнение ГРБС своих полномочий установленных ст. 158 Бюджетного кодекса, в части формирования муниципального задания для подведомственного учреждения  и контроля, за выполнением муниципального задания. </w:t>
            </w:r>
          </w:p>
        </w:tc>
        <w:tc>
          <w:tcPr>
            <w:tcW w:w="3119" w:type="dxa"/>
            <w:tcBorders>
              <w:top w:val="single" w:sz="4" w:space="0" w:color="auto"/>
              <w:left w:val="single" w:sz="4" w:space="0" w:color="auto"/>
              <w:bottom w:val="single" w:sz="4" w:space="0" w:color="auto"/>
              <w:right w:val="nil"/>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r>
      <w:tr w:rsidR="008C5C90" w:rsidRPr="00154227" w:rsidTr="00661AEF">
        <w:trPr>
          <w:trHeight w:val="20"/>
        </w:trPr>
        <w:tc>
          <w:tcPr>
            <w:tcW w:w="714" w:type="dxa"/>
            <w:vMerge/>
            <w:tcBorders>
              <w:left w:val="single" w:sz="4" w:space="0" w:color="auto"/>
              <w:right w:val="nil"/>
            </w:tcBorders>
            <w:shd w:val="clear" w:color="auto" w:fill="FFFFFF"/>
            <w:vAlign w:val="bottom"/>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ч.4 ст. 69.2 Бюджетного кодекса, п. 3.1 раздела 3 Порядка формирования муниципального задания</w:t>
            </w:r>
          </w:p>
        </w:tc>
        <w:tc>
          <w:tcPr>
            <w:tcW w:w="85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1900,00</w:t>
            </w:r>
          </w:p>
        </w:tc>
        <w:tc>
          <w:tcPr>
            <w:tcW w:w="4394"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Pr>
                <w:rFonts w:ascii="Times New Roman" w:hAnsi="Times New Roman" w:cs="Times New Roman"/>
                <w:sz w:val="18"/>
                <w:szCs w:val="18"/>
              </w:rPr>
              <w:t>О</w:t>
            </w:r>
            <w:r w:rsidRPr="00154227">
              <w:rPr>
                <w:rFonts w:ascii="Times New Roman" w:hAnsi="Times New Roman" w:cs="Times New Roman"/>
                <w:sz w:val="18"/>
                <w:szCs w:val="18"/>
              </w:rPr>
              <w:t>бъем финансового обеспечения выполнения муниципального задания на 2023 год рассчитан без учета  нормативных затрат на оказание муниципальных услуг (работ). Объем  финансового обеспечения выполнения муниципального задания на 2023 год определен  исходя из суммы фактических затрат  за предыдущий год</w:t>
            </w:r>
          </w:p>
        </w:tc>
        <w:tc>
          <w:tcPr>
            <w:tcW w:w="3119" w:type="dxa"/>
            <w:tcBorders>
              <w:top w:val="single" w:sz="4" w:space="0" w:color="auto"/>
              <w:left w:val="single" w:sz="4" w:space="0" w:color="auto"/>
              <w:bottom w:val="single" w:sz="4" w:space="0" w:color="auto"/>
              <w:right w:val="nil"/>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r>
      <w:tr w:rsidR="008C5C90" w:rsidRPr="00154227" w:rsidTr="00661AEF">
        <w:trPr>
          <w:trHeight w:val="20"/>
        </w:trPr>
        <w:tc>
          <w:tcPr>
            <w:tcW w:w="714" w:type="dxa"/>
            <w:tcBorders>
              <w:left w:val="single" w:sz="4" w:space="0" w:color="auto"/>
              <w:right w:val="nil"/>
            </w:tcBorders>
            <w:shd w:val="clear" w:color="auto" w:fill="FFFFFF"/>
            <w:vAlign w:val="bottom"/>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 xml:space="preserve">п.8, п.13 Приказа Минфина России от 31.08.2018 N 186н  </w:t>
            </w:r>
          </w:p>
        </w:tc>
        <w:tc>
          <w:tcPr>
            <w:tcW w:w="85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2458,2</w:t>
            </w:r>
          </w:p>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Плановый объем выплат и поступлений ПФХД  не подтвержден соответствующими обоснованиями (расчетами).</w:t>
            </w:r>
          </w:p>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Плановые показатели ПФХД по КОСГУ 221   меньше кассовых выплат по указанному направлению.</w:t>
            </w:r>
          </w:p>
        </w:tc>
        <w:tc>
          <w:tcPr>
            <w:tcW w:w="3119" w:type="dxa"/>
            <w:tcBorders>
              <w:top w:val="single" w:sz="4" w:space="0" w:color="auto"/>
              <w:left w:val="single" w:sz="4" w:space="0" w:color="auto"/>
              <w:bottom w:val="single" w:sz="4" w:space="0" w:color="auto"/>
              <w:right w:val="nil"/>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r>
      <w:tr w:rsidR="008C5C90" w:rsidRPr="00154227" w:rsidTr="00661AEF">
        <w:trPr>
          <w:trHeight w:val="20"/>
        </w:trPr>
        <w:tc>
          <w:tcPr>
            <w:tcW w:w="714" w:type="dxa"/>
            <w:tcBorders>
              <w:left w:val="single" w:sz="4" w:space="0" w:color="auto"/>
              <w:right w:val="nil"/>
            </w:tcBorders>
            <w:shd w:val="clear" w:color="auto" w:fill="FFFFFF"/>
            <w:vAlign w:val="bottom"/>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п. 6.8, п. 4.6 Устава учреждения</w:t>
            </w:r>
          </w:p>
        </w:tc>
        <w:tc>
          <w:tcPr>
            <w:tcW w:w="85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На дату проверки   действующих  членов Наблюдательного совета – 2 человека. В проверяемом периоде заседания Наблюдательного Совета не проводились.</w:t>
            </w:r>
          </w:p>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Отчет об исполнении ПФХД, годовая бухгалтерская отчетность  за 2023 год не утвержден Наблюдательным советом.</w:t>
            </w:r>
          </w:p>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Цены на платные услуги на 2023 год  утверждены без учета  планируемых затрат (расчеты не предоставлены),  не согласованы  с администрацией Юргинского муниципального округа</w:t>
            </w:r>
          </w:p>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p>
        </w:tc>
        <w:tc>
          <w:tcPr>
            <w:tcW w:w="3119" w:type="dxa"/>
            <w:tcBorders>
              <w:top w:val="single" w:sz="4" w:space="0" w:color="auto"/>
              <w:left w:val="single" w:sz="4" w:space="0" w:color="auto"/>
              <w:bottom w:val="single" w:sz="4" w:space="0" w:color="auto"/>
              <w:right w:val="nil"/>
            </w:tcBorders>
            <w:shd w:val="clear" w:color="auto" w:fill="FFFFFF"/>
            <w:vAlign w:val="center"/>
          </w:tcPr>
          <w:p w:rsidR="008C5C90" w:rsidRPr="00154227" w:rsidRDefault="008C5C90" w:rsidP="00661AEF">
            <w:pPr>
              <w:spacing w:after="0" w:line="240" w:lineRule="auto"/>
              <w:ind w:left="113" w:right="113"/>
              <w:contextualSpacing/>
              <w:jc w:val="both"/>
              <w:rPr>
                <w:rFonts w:ascii="Times New Roman" w:hAnsi="Times New Roman" w:cs="Times New Roman"/>
                <w:sz w:val="18"/>
                <w:szCs w:val="18"/>
              </w:rPr>
            </w:pPr>
            <w:r w:rsidRPr="00154227">
              <w:rPr>
                <w:rFonts w:ascii="Times New Roman" w:hAnsi="Times New Roman" w:cs="Times New Roman"/>
                <w:sz w:val="18"/>
                <w:szCs w:val="18"/>
              </w:rPr>
              <w:t>Утвердить состав</w:t>
            </w:r>
          </w:p>
          <w:p w:rsidR="008C5C90" w:rsidRPr="00154227" w:rsidRDefault="008C5C90" w:rsidP="00661AEF">
            <w:pPr>
              <w:spacing w:after="0" w:line="240" w:lineRule="auto"/>
              <w:ind w:left="113" w:right="113"/>
              <w:contextualSpacing/>
              <w:jc w:val="both"/>
              <w:rPr>
                <w:rFonts w:ascii="Times New Roman" w:hAnsi="Times New Roman" w:cs="Times New Roman"/>
                <w:sz w:val="18"/>
                <w:szCs w:val="18"/>
              </w:rPr>
            </w:pPr>
            <w:r w:rsidRPr="00154227">
              <w:rPr>
                <w:rFonts w:ascii="Times New Roman" w:hAnsi="Times New Roman" w:cs="Times New Roman"/>
                <w:sz w:val="18"/>
                <w:szCs w:val="18"/>
              </w:rPr>
              <w:t xml:space="preserve"> наблюдательного совета.</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Постановление администрации Юргинского муниципального округа от 14.10.2024 № 1541</w:t>
            </w:r>
          </w:p>
        </w:tc>
      </w:tr>
      <w:tr w:rsidR="008C5C90" w:rsidRPr="00154227" w:rsidTr="00661AEF">
        <w:trPr>
          <w:trHeight w:val="20"/>
        </w:trPr>
        <w:tc>
          <w:tcPr>
            <w:tcW w:w="714" w:type="dxa"/>
            <w:tcBorders>
              <w:left w:val="single" w:sz="4" w:space="0" w:color="auto"/>
              <w:right w:val="nil"/>
            </w:tcBorders>
            <w:shd w:val="clear" w:color="auto" w:fill="FFFFFF"/>
            <w:vAlign w:val="bottom"/>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п.9 разд.3 Приказа Минфина России от 30.12.2017 N 274н</w:t>
            </w:r>
          </w:p>
        </w:tc>
        <w:tc>
          <w:tcPr>
            <w:tcW w:w="85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Несоответствие учетной политики установленным требованиям</w:t>
            </w:r>
          </w:p>
        </w:tc>
        <w:tc>
          <w:tcPr>
            <w:tcW w:w="3119" w:type="dxa"/>
            <w:tcBorders>
              <w:top w:val="single" w:sz="4" w:space="0" w:color="auto"/>
              <w:left w:val="single" w:sz="4" w:space="0" w:color="auto"/>
              <w:bottom w:val="single" w:sz="4" w:space="0" w:color="auto"/>
              <w:right w:val="nil"/>
            </w:tcBorders>
            <w:shd w:val="clear" w:color="auto" w:fill="FFFFFF"/>
            <w:vAlign w:val="center"/>
          </w:tcPr>
          <w:p w:rsidR="008C5C90" w:rsidRPr="00154227" w:rsidRDefault="008C5C90" w:rsidP="00661AEF">
            <w:pPr>
              <w:spacing w:after="0" w:line="240" w:lineRule="auto"/>
              <w:ind w:left="113" w:right="113"/>
              <w:contextualSpacing/>
              <w:jc w:val="both"/>
              <w:rPr>
                <w:rFonts w:ascii="Times New Roman" w:hAnsi="Times New Roman" w:cs="Times New Roman"/>
                <w:sz w:val="18"/>
                <w:szCs w:val="18"/>
              </w:rPr>
            </w:pPr>
            <w:r w:rsidRPr="00154227">
              <w:rPr>
                <w:rFonts w:ascii="Times New Roman" w:hAnsi="Times New Roman" w:cs="Times New Roman"/>
                <w:sz w:val="18"/>
                <w:szCs w:val="18"/>
              </w:rPr>
              <w:t xml:space="preserve">     Учетную политику привести в соответствие  с  </w:t>
            </w:r>
            <w:proofErr w:type="gramStart"/>
            <w:r w:rsidRPr="00154227">
              <w:rPr>
                <w:rFonts w:ascii="Times New Roman" w:hAnsi="Times New Roman" w:cs="Times New Roman"/>
                <w:sz w:val="18"/>
                <w:szCs w:val="18"/>
              </w:rPr>
              <w:t>требованиями</w:t>
            </w:r>
            <w:proofErr w:type="gramEnd"/>
            <w:r w:rsidRPr="00154227">
              <w:rPr>
                <w:rFonts w:ascii="Times New Roman" w:hAnsi="Times New Roman" w:cs="Times New Roman"/>
                <w:sz w:val="18"/>
                <w:szCs w:val="18"/>
              </w:rPr>
              <w:t xml:space="preserve"> установленными бюджетным законодательством.</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C5C90" w:rsidRPr="00154227" w:rsidRDefault="00F8672F" w:rsidP="00661AEF">
            <w:pPr>
              <w:spacing w:after="0" w:line="240" w:lineRule="auto"/>
              <w:ind w:left="113" w:right="113" w:firstLine="284"/>
              <w:contextualSpacing/>
              <w:jc w:val="both"/>
              <w:rPr>
                <w:rFonts w:ascii="Times New Roman" w:hAnsi="Times New Roman" w:cs="Times New Roman"/>
                <w:sz w:val="18"/>
                <w:szCs w:val="18"/>
              </w:rPr>
            </w:pPr>
            <w:r w:rsidRPr="00F8672F">
              <w:rPr>
                <w:rFonts w:ascii="Times New Roman" w:hAnsi="Times New Roman" w:cs="Times New Roman"/>
                <w:sz w:val="18"/>
                <w:szCs w:val="18"/>
              </w:rPr>
              <w:t>Приказ руководителя от 15.08.2024 № 10а</w:t>
            </w:r>
          </w:p>
        </w:tc>
      </w:tr>
      <w:tr w:rsidR="008C5C90" w:rsidRPr="00154227" w:rsidTr="00661AEF">
        <w:trPr>
          <w:trHeight w:val="2117"/>
        </w:trPr>
        <w:tc>
          <w:tcPr>
            <w:tcW w:w="714" w:type="dxa"/>
            <w:tcBorders>
              <w:left w:val="single" w:sz="4" w:space="0" w:color="auto"/>
              <w:right w:val="nil"/>
            </w:tcBorders>
            <w:shd w:val="clear" w:color="auto" w:fill="FFFFFF"/>
            <w:vAlign w:val="bottom"/>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410" w:type="dxa"/>
            <w:vMerge w:val="restart"/>
            <w:tcBorders>
              <w:top w:val="single" w:sz="4" w:space="0" w:color="auto"/>
              <w:left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ст.10 Федерального закона т 06.12.2011 N 402-ФЗ,  п.16, п.28, п.29 Приказа Минфина России от 31.12.2016 N 256н</w:t>
            </w:r>
          </w:p>
        </w:tc>
        <w:tc>
          <w:tcPr>
            <w:tcW w:w="850" w:type="dxa"/>
            <w:vMerge w:val="restart"/>
            <w:tcBorders>
              <w:top w:val="single" w:sz="4" w:space="0" w:color="auto"/>
              <w:left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4</w:t>
            </w:r>
          </w:p>
        </w:tc>
        <w:tc>
          <w:tcPr>
            <w:tcW w:w="1276" w:type="dxa"/>
            <w:vMerge w:val="restart"/>
            <w:tcBorders>
              <w:top w:val="single" w:sz="4" w:space="0" w:color="auto"/>
              <w:left w:val="single" w:sz="4" w:space="0" w:color="auto"/>
              <w:right w:val="nil"/>
            </w:tcBorders>
            <w:shd w:val="clear" w:color="auto" w:fill="auto"/>
          </w:tcPr>
          <w:p w:rsidR="008C5C90" w:rsidRPr="00154227" w:rsidRDefault="008C5C90" w:rsidP="00661AEF">
            <w:pPr>
              <w:spacing w:line="240" w:lineRule="auto"/>
              <w:ind w:left="113" w:right="113" w:firstLine="284"/>
              <w:contextualSpacing/>
              <w:jc w:val="center"/>
              <w:rPr>
                <w:rFonts w:ascii="Times New Roman" w:hAnsi="Times New Roman" w:cs="Times New Roman"/>
                <w:sz w:val="18"/>
                <w:szCs w:val="18"/>
              </w:rPr>
            </w:pPr>
          </w:p>
          <w:p w:rsidR="008C5C90" w:rsidRPr="00154227" w:rsidRDefault="008C5C90" w:rsidP="00661AEF">
            <w:pPr>
              <w:spacing w:line="240" w:lineRule="auto"/>
              <w:ind w:left="113" w:right="113" w:firstLine="284"/>
              <w:contextualSpacing/>
              <w:jc w:val="center"/>
              <w:rPr>
                <w:rFonts w:ascii="Times New Roman" w:hAnsi="Times New Roman" w:cs="Times New Roman"/>
                <w:sz w:val="18"/>
                <w:szCs w:val="18"/>
              </w:rPr>
            </w:pPr>
          </w:p>
          <w:p w:rsidR="008C5C90" w:rsidRPr="00154227" w:rsidRDefault="008C5C90" w:rsidP="00661AEF">
            <w:pPr>
              <w:spacing w:line="240" w:lineRule="auto"/>
              <w:ind w:left="113" w:right="113" w:firstLine="284"/>
              <w:contextualSpacing/>
              <w:jc w:val="center"/>
              <w:rPr>
                <w:rFonts w:ascii="Times New Roman" w:hAnsi="Times New Roman" w:cs="Times New Roman"/>
                <w:sz w:val="18"/>
                <w:szCs w:val="18"/>
              </w:rPr>
            </w:pPr>
          </w:p>
          <w:p w:rsidR="008C5C90" w:rsidRPr="00154227" w:rsidRDefault="008C5C90" w:rsidP="00661AEF">
            <w:pPr>
              <w:spacing w:line="240" w:lineRule="auto"/>
              <w:ind w:left="113" w:right="113" w:firstLine="284"/>
              <w:contextualSpacing/>
              <w:jc w:val="center"/>
              <w:rPr>
                <w:rFonts w:ascii="Times New Roman" w:hAnsi="Times New Roman" w:cs="Times New Roman"/>
                <w:sz w:val="18"/>
                <w:szCs w:val="18"/>
              </w:rPr>
            </w:pPr>
          </w:p>
          <w:p w:rsidR="008C5C90" w:rsidRPr="00154227" w:rsidRDefault="008C5C90" w:rsidP="00661AEF">
            <w:pPr>
              <w:spacing w:line="240" w:lineRule="auto"/>
              <w:ind w:left="113" w:right="113" w:firstLine="284"/>
              <w:contextualSpacing/>
              <w:jc w:val="center"/>
              <w:rPr>
                <w:rFonts w:ascii="Times New Roman" w:hAnsi="Times New Roman" w:cs="Times New Roman"/>
                <w:sz w:val="18"/>
                <w:szCs w:val="18"/>
              </w:rPr>
            </w:pPr>
          </w:p>
          <w:p w:rsidR="008C5C90" w:rsidRPr="00154227" w:rsidRDefault="008C5C90" w:rsidP="00661AEF">
            <w:pPr>
              <w:spacing w:line="240" w:lineRule="auto"/>
              <w:ind w:left="113" w:right="113" w:firstLine="284"/>
              <w:contextualSpacing/>
              <w:rPr>
                <w:rFonts w:ascii="Times New Roman" w:hAnsi="Times New Roman" w:cs="Times New Roman"/>
                <w:sz w:val="18"/>
                <w:szCs w:val="18"/>
              </w:rPr>
            </w:pPr>
            <w:r w:rsidRPr="00154227">
              <w:rPr>
                <w:rFonts w:ascii="Times New Roman" w:hAnsi="Times New Roman" w:cs="Times New Roman"/>
                <w:sz w:val="18"/>
                <w:szCs w:val="18"/>
              </w:rPr>
              <w:t>2458,2</w:t>
            </w:r>
          </w:p>
        </w:tc>
        <w:tc>
          <w:tcPr>
            <w:tcW w:w="4394" w:type="dxa"/>
            <w:vMerge w:val="restart"/>
            <w:tcBorders>
              <w:top w:val="single" w:sz="4" w:space="0" w:color="auto"/>
              <w:left w:val="single" w:sz="4" w:space="0" w:color="auto"/>
              <w:right w:val="nil"/>
            </w:tcBorders>
            <w:shd w:val="clear" w:color="auto" w:fill="auto"/>
          </w:tcPr>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Pr>
                <w:rFonts w:ascii="Times New Roman" w:hAnsi="Times New Roman" w:cs="Times New Roman"/>
                <w:sz w:val="18"/>
                <w:szCs w:val="18"/>
              </w:rPr>
              <w:t>Г</w:t>
            </w:r>
            <w:r w:rsidRPr="00154227">
              <w:rPr>
                <w:rFonts w:ascii="Times New Roman" w:hAnsi="Times New Roman" w:cs="Times New Roman"/>
                <w:sz w:val="18"/>
                <w:szCs w:val="18"/>
              </w:rPr>
              <w:t>рубое нарушение требований к бюджетному (бухгалтерскому) учету, в том числе к составлению бухгалтерской (финансовой) отчетности, а именно:</w:t>
            </w:r>
          </w:p>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 искажение показателя бухгалтерской (финансовой) отчетности, выраженного в денежном измерении, которое привело к искажению информации об активах, обязательствах более чем на 10 процентов (</w:t>
            </w:r>
            <w:proofErr w:type="spellStart"/>
            <w:r w:rsidRPr="00154227">
              <w:rPr>
                <w:rFonts w:ascii="Times New Roman" w:hAnsi="Times New Roman" w:cs="Times New Roman"/>
                <w:sz w:val="18"/>
                <w:szCs w:val="18"/>
              </w:rPr>
              <w:t>п.п</w:t>
            </w:r>
            <w:proofErr w:type="spellEnd"/>
            <w:r w:rsidRPr="00154227">
              <w:rPr>
                <w:rFonts w:ascii="Times New Roman" w:hAnsi="Times New Roman" w:cs="Times New Roman"/>
                <w:sz w:val="18"/>
                <w:szCs w:val="18"/>
              </w:rPr>
              <w:t xml:space="preserve">. 1 п.4 </w:t>
            </w:r>
            <w:proofErr w:type="spellStart"/>
            <w:proofErr w:type="gramStart"/>
            <w:r w:rsidRPr="00154227">
              <w:rPr>
                <w:rFonts w:ascii="Times New Roman" w:hAnsi="Times New Roman" w:cs="Times New Roman"/>
                <w:sz w:val="18"/>
                <w:szCs w:val="18"/>
              </w:rPr>
              <w:t>ст</w:t>
            </w:r>
            <w:proofErr w:type="spellEnd"/>
            <w:proofErr w:type="gramEnd"/>
            <w:r w:rsidRPr="00154227">
              <w:rPr>
                <w:rFonts w:ascii="Times New Roman" w:hAnsi="Times New Roman" w:cs="Times New Roman"/>
                <w:sz w:val="18"/>
                <w:szCs w:val="18"/>
              </w:rPr>
              <w:t xml:space="preserve"> 15.15.6 КоАП);</w:t>
            </w:r>
          </w:p>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 включение в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(п.п.4 п.4 ст. 15.15.6 КОАП);</w:t>
            </w:r>
          </w:p>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 ведение счетов бюджетного (бухгалтерского) учета вне применяемых регистров бухгалтерского учета (п.п.6 п.4 ст. 15.15.6 КоАП);</w:t>
            </w:r>
          </w:p>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 отсутствие первичных учетных документов  в течение установленных сроков хранения таких документов (п.п.7 п. 4 статьи 15.15.6 КоАП)</w:t>
            </w:r>
          </w:p>
        </w:tc>
        <w:tc>
          <w:tcPr>
            <w:tcW w:w="3119" w:type="dxa"/>
            <w:vMerge w:val="restart"/>
            <w:tcBorders>
              <w:top w:val="single" w:sz="4" w:space="0" w:color="auto"/>
              <w:left w:val="single" w:sz="4" w:space="0" w:color="auto"/>
              <w:right w:val="nil"/>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Составлен протокол об административном правонарушении от 20.08.2024      № 1 , по ст. 15.15.6 КОАП</w:t>
            </w:r>
          </w:p>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Бухгалтерский учет,  с начала текущего финансового года, привести в соответствие с действующей методологией бюджетного учета.</w:t>
            </w:r>
          </w:p>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551" w:type="dxa"/>
            <w:vMerge w:val="restart"/>
            <w:tcBorders>
              <w:top w:val="single" w:sz="4" w:space="0" w:color="auto"/>
              <w:left w:val="single" w:sz="4" w:space="0" w:color="auto"/>
              <w:right w:val="single" w:sz="4" w:space="0" w:color="auto"/>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Постановление  мирового судьи судебного участка № 2 Юргинского городского судебного района от 27.09.2024 УИД 42MS0106-01-2024-003976-38.  Должностное лицо признано виновным  в совершении административного правонарушения</w:t>
            </w:r>
            <w:proofErr w:type="gramStart"/>
            <w:r w:rsidRPr="00154227">
              <w:rPr>
                <w:rFonts w:ascii="Times New Roman" w:hAnsi="Times New Roman" w:cs="Times New Roman"/>
                <w:sz w:val="18"/>
                <w:szCs w:val="18"/>
              </w:rPr>
              <w:t xml:space="preserve"> ,</w:t>
            </w:r>
            <w:proofErr w:type="gramEnd"/>
            <w:r w:rsidRPr="00154227">
              <w:rPr>
                <w:rFonts w:ascii="Times New Roman" w:hAnsi="Times New Roman" w:cs="Times New Roman"/>
                <w:sz w:val="18"/>
                <w:szCs w:val="18"/>
              </w:rPr>
              <w:t xml:space="preserve"> предусмотренного ч.4  ст. 15.15.6 КоАП РФ, назначено наказание в виде предупреждения.</w:t>
            </w:r>
          </w:p>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p w:rsidR="008C5C90" w:rsidRDefault="008C5C90" w:rsidP="00661AEF">
            <w:pPr>
              <w:spacing w:after="0"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Бухгалтерский учет восстановлен с использованием ПО «1С»</w:t>
            </w:r>
          </w:p>
          <w:p w:rsidR="00F8672F" w:rsidRPr="00154227" w:rsidRDefault="00F8672F" w:rsidP="00661AEF">
            <w:pPr>
              <w:spacing w:after="0" w:line="240" w:lineRule="auto"/>
              <w:ind w:left="113" w:right="113" w:firstLine="284"/>
              <w:contextualSpacing/>
              <w:jc w:val="both"/>
              <w:rPr>
                <w:rFonts w:ascii="Times New Roman" w:hAnsi="Times New Roman" w:cs="Times New Roman"/>
                <w:sz w:val="18"/>
                <w:szCs w:val="18"/>
              </w:rPr>
            </w:pPr>
          </w:p>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bookmarkStart w:id="0" w:name="_GoBack"/>
            <w:bookmarkEnd w:id="0"/>
          </w:p>
        </w:tc>
      </w:tr>
      <w:tr w:rsidR="008C5C90" w:rsidRPr="00154227" w:rsidTr="00661AEF">
        <w:trPr>
          <w:trHeight w:val="20"/>
        </w:trPr>
        <w:tc>
          <w:tcPr>
            <w:tcW w:w="714" w:type="dxa"/>
            <w:tcBorders>
              <w:left w:val="single" w:sz="4" w:space="0" w:color="auto"/>
              <w:right w:val="nil"/>
            </w:tcBorders>
            <w:shd w:val="clear" w:color="auto" w:fill="FFFFFF"/>
            <w:vAlign w:val="bottom"/>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410" w:type="dxa"/>
            <w:vMerge/>
            <w:tcBorders>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tc>
        <w:tc>
          <w:tcPr>
            <w:tcW w:w="850" w:type="dxa"/>
            <w:vMerge/>
            <w:tcBorders>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tc>
        <w:tc>
          <w:tcPr>
            <w:tcW w:w="1276" w:type="dxa"/>
            <w:vMerge/>
            <w:tcBorders>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tc>
        <w:tc>
          <w:tcPr>
            <w:tcW w:w="4394" w:type="dxa"/>
            <w:vMerge/>
            <w:tcBorders>
              <w:left w:val="single" w:sz="4" w:space="0" w:color="auto"/>
              <w:bottom w:val="single" w:sz="4" w:space="0" w:color="auto"/>
              <w:right w:val="nil"/>
            </w:tcBorders>
            <w:shd w:val="clear" w:color="auto" w:fill="auto"/>
          </w:tcPr>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p>
        </w:tc>
        <w:tc>
          <w:tcPr>
            <w:tcW w:w="3119" w:type="dxa"/>
            <w:vMerge/>
            <w:tcBorders>
              <w:left w:val="single" w:sz="4" w:space="0" w:color="auto"/>
              <w:bottom w:val="single" w:sz="4" w:space="0" w:color="auto"/>
              <w:right w:val="nil"/>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551" w:type="dxa"/>
            <w:vMerge/>
            <w:tcBorders>
              <w:left w:val="single" w:sz="4" w:space="0" w:color="auto"/>
              <w:bottom w:val="single" w:sz="4" w:space="0" w:color="auto"/>
              <w:right w:val="single" w:sz="4" w:space="0" w:color="auto"/>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r>
      <w:tr w:rsidR="008C5C90" w:rsidRPr="00154227" w:rsidTr="00661AEF">
        <w:trPr>
          <w:trHeight w:val="20"/>
        </w:trPr>
        <w:tc>
          <w:tcPr>
            <w:tcW w:w="714" w:type="dxa"/>
            <w:tcBorders>
              <w:left w:val="single" w:sz="4" w:space="0" w:color="auto"/>
              <w:right w:val="nil"/>
            </w:tcBorders>
            <w:shd w:val="clear" w:color="auto" w:fill="FFFFFF"/>
            <w:vAlign w:val="bottom"/>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ст.130, ст. 134 Трудового кодекса</w:t>
            </w:r>
          </w:p>
        </w:tc>
        <w:tc>
          <w:tcPr>
            <w:tcW w:w="85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Несвоевременная индексация  заработной платы</w:t>
            </w:r>
          </w:p>
        </w:tc>
        <w:tc>
          <w:tcPr>
            <w:tcW w:w="3119" w:type="dxa"/>
            <w:tcBorders>
              <w:top w:val="single" w:sz="4" w:space="0" w:color="auto"/>
              <w:left w:val="single" w:sz="4" w:space="0" w:color="auto"/>
              <w:bottom w:val="single" w:sz="4" w:space="0" w:color="auto"/>
              <w:right w:val="nil"/>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r>
      <w:tr w:rsidR="008C5C90" w:rsidRPr="00154227" w:rsidTr="00661AEF">
        <w:trPr>
          <w:trHeight w:val="20"/>
        </w:trPr>
        <w:tc>
          <w:tcPr>
            <w:tcW w:w="714" w:type="dxa"/>
            <w:tcBorders>
              <w:left w:val="single" w:sz="4" w:space="0" w:color="auto"/>
              <w:right w:val="nil"/>
            </w:tcBorders>
            <w:shd w:val="clear" w:color="auto" w:fill="FFFFFF"/>
            <w:vAlign w:val="bottom"/>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п.9 разд.1 Приказа Минфина России от 25.03.2011 N 33н</w:t>
            </w:r>
          </w:p>
        </w:tc>
        <w:tc>
          <w:tcPr>
            <w:tcW w:w="850"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spacing w:line="240" w:lineRule="auto"/>
              <w:ind w:left="113" w:right="113" w:firstLine="284"/>
              <w:contextualSpacing/>
              <w:jc w:val="both"/>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nil"/>
            </w:tcBorders>
            <w:shd w:val="clear" w:color="auto" w:fill="auto"/>
          </w:tcPr>
          <w:p w:rsidR="008C5C90" w:rsidRPr="00154227" w:rsidRDefault="008C5C90" w:rsidP="00661AEF">
            <w:pPr>
              <w:tabs>
                <w:tab w:val="left" w:pos="1139"/>
              </w:tabs>
              <w:spacing w:line="240" w:lineRule="auto"/>
              <w:ind w:left="113" w:right="113" w:firstLine="284"/>
              <w:contextualSpacing/>
              <w:jc w:val="both"/>
              <w:rPr>
                <w:rFonts w:ascii="Times New Roman" w:hAnsi="Times New Roman" w:cs="Times New Roman"/>
                <w:sz w:val="18"/>
                <w:szCs w:val="18"/>
              </w:rPr>
            </w:pPr>
            <w:r w:rsidRPr="00154227">
              <w:rPr>
                <w:rFonts w:ascii="Times New Roman" w:hAnsi="Times New Roman" w:cs="Times New Roman"/>
                <w:sz w:val="18"/>
                <w:szCs w:val="18"/>
              </w:rPr>
              <w:t>В целях составления годовой бухгалтерской отчетности учреждения инвентаризация активов и обязательств не проведена.</w:t>
            </w:r>
          </w:p>
        </w:tc>
        <w:tc>
          <w:tcPr>
            <w:tcW w:w="3119" w:type="dxa"/>
            <w:tcBorders>
              <w:top w:val="single" w:sz="4" w:space="0" w:color="auto"/>
              <w:left w:val="single" w:sz="4" w:space="0" w:color="auto"/>
              <w:bottom w:val="single" w:sz="4" w:space="0" w:color="auto"/>
              <w:right w:val="nil"/>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8C5C90" w:rsidRPr="00154227" w:rsidRDefault="008C5C90" w:rsidP="00661AEF">
            <w:pPr>
              <w:spacing w:after="0" w:line="240" w:lineRule="auto"/>
              <w:ind w:left="113" w:right="113" w:firstLine="284"/>
              <w:contextualSpacing/>
              <w:jc w:val="both"/>
              <w:rPr>
                <w:rFonts w:ascii="Times New Roman" w:hAnsi="Times New Roman" w:cs="Times New Roman"/>
                <w:sz w:val="18"/>
                <w:szCs w:val="18"/>
              </w:rPr>
            </w:pPr>
          </w:p>
        </w:tc>
      </w:tr>
    </w:tbl>
    <w:p w:rsidR="008C5C90" w:rsidRPr="00154227" w:rsidRDefault="008C5C90" w:rsidP="008C5C90">
      <w:pPr>
        <w:spacing w:after="0" w:line="240" w:lineRule="auto"/>
        <w:ind w:left="113" w:right="113" w:firstLine="284"/>
        <w:contextualSpacing/>
        <w:jc w:val="both"/>
        <w:rPr>
          <w:rFonts w:ascii="Times New Roman" w:hAnsi="Times New Roman" w:cs="Times New Roman"/>
          <w:sz w:val="18"/>
          <w:szCs w:val="18"/>
        </w:rPr>
      </w:pPr>
    </w:p>
    <w:p w:rsidR="00A90349" w:rsidRDefault="00A90349"/>
    <w:sectPr w:rsidR="00A90349" w:rsidSect="008C5C9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0D8"/>
    <w:rsid w:val="00036789"/>
    <w:rsid w:val="002F20D8"/>
    <w:rsid w:val="00416169"/>
    <w:rsid w:val="008C5C90"/>
    <w:rsid w:val="00A90349"/>
    <w:rsid w:val="00F86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917</Words>
  <Characters>5231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Revkom</dc:creator>
  <cp:lastModifiedBy>Revkom</cp:lastModifiedBy>
  <cp:revision>5</cp:revision>
  <dcterms:created xsi:type="dcterms:W3CDTF">2025-01-17T08:26:00Z</dcterms:created>
  <dcterms:modified xsi:type="dcterms:W3CDTF">2025-02-12T05:22:00Z</dcterms:modified>
</cp:coreProperties>
</file>