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</w:t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общественных обсуждений</w:t>
      </w:r>
      <w:r>
        <w:rPr>
          <w:b/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отношении хозяйственной и (или) иной деятельности, планируемой на территории 2-х муниципальных образований Кемеровской области – Кузбасса по объекту:</w:t>
      </w:r>
      <w:r>
        <w:rPr>
          <w:b/>
          <w:sz w:val="28"/>
          <w:szCs w:val="28"/>
        </w:rPr>
      </w:r>
    </w:p>
    <w:p>
      <w:pPr>
        <w:jc w:val="both"/>
        <w:rPr>
          <w:rFonts w:eastAsia="Aptos"/>
          <w:sz w:val="28"/>
          <w:szCs w:val="28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  <w14:ligatures w14:val="standardContextual"/>
        </w:rPr>
        <w:t xml:space="preserve">Материалы, обосновывающие лимиты добычи и квоты добычи охотничьих ресурсов на территории Кемеровской области – Кузбасса, на период с 1 августа 2026 г. до 1 августа 2027 г., включая предварительные материалы оценки воздействия на окружающую среду</w:t>
      </w:r>
      <w:r>
        <w:rPr>
          <w:rFonts w:eastAsia="Aptos"/>
          <w:sz w:val="28"/>
          <w:szCs w:val="28"/>
          <w:lang w:eastAsia="en-US"/>
          <w14:ligatures w14:val="standardContextual"/>
        </w:rPr>
        <w:t xml:space="preserve">.</w:t>
      </w:r>
      <w:r>
        <w:rPr>
          <w:rFonts w:eastAsia="Aptos"/>
          <w:sz w:val="28"/>
          <w:szCs w:val="28"/>
          <w:lang w:eastAsia="en-US"/>
          <w14:ligatures w14:val="standardContextual"/>
        </w:rPr>
      </w:r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Информация об объекте обсуждений, подлежащем рассмотрению на общественных обсуждениях</w:t>
      </w:r>
      <w:r>
        <w:rPr>
          <w:b/>
          <w:sz w:val="28"/>
          <w:szCs w:val="28"/>
          <w:u w:val="single"/>
        </w:rPr>
      </w:r>
    </w:p>
    <w:p>
      <w:pPr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contextualSpacing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Сведения о заказчике: </w:t>
      </w:r>
      <w:r>
        <w:rPr>
          <w:sz w:val="28"/>
          <w:szCs w:val="28"/>
          <w:u w:val="single"/>
        </w:rPr>
      </w:r>
    </w:p>
    <w:p>
      <w:pPr>
        <w:contextualSpacing/>
        <w:jc w:val="both"/>
        <w:rPr>
          <w:rFonts w:eastAsia="Aptos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 xml:space="preserve">Полное наименование: </w:t>
      </w:r>
      <w:r>
        <w:rPr>
          <w:rFonts w:eastAsia="Aptos"/>
          <w:sz w:val="28"/>
          <w:szCs w:val="28"/>
          <w:lang w:eastAsia="en-US"/>
          <w14:ligatures w14:val="standardContextual"/>
        </w:rPr>
        <w:t xml:space="preserve">Министерство лесного комплекса и охотничьего хозяйства Кузбасса.</w:t>
      </w:r>
      <w:r>
        <w:rPr>
          <w:rFonts w:eastAsia="Aptos"/>
          <w:sz w:val="28"/>
          <w:szCs w:val="28"/>
          <w:lang w:eastAsia="en-US"/>
          <w14:ligatures w14:val="standardContextual"/>
        </w:rPr>
      </w:r>
    </w:p>
    <w:p>
      <w:pPr>
        <w:contextualSpacing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Сокращенное наименование: </w:t>
      </w:r>
      <w:r>
        <w:rPr>
          <w:sz w:val="28"/>
          <w:szCs w:val="28"/>
        </w:rPr>
        <w:t xml:space="preserve">Министерство ЛК и ОХ К</w:t>
      </w:r>
      <w:r>
        <w:rPr>
          <w:sz w:val="28"/>
          <w:szCs w:val="28"/>
        </w:rPr>
        <w:t xml:space="preserve">узбасса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</w:p>
    <w:p>
      <w:pPr>
        <w:contextualSpacing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bookmarkStart w:id="0" w:name="_Hlk225430241"/>
      <w:r>
        <w:rPr>
          <w:sz w:val="28"/>
          <w:szCs w:val="28"/>
        </w:rPr>
        <w:t xml:space="preserve">ОГРН: </w:t>
      </w:r>
      <w:r>
        <w:rPr>
          <w:sz w:val="28"/>
          <w:szCs w:val="28"/>
        </w:rPr>
        <w:t xml:space="preserve">1074205000924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</w:p>
    <w:p>
      <w:pPr>
        <w:contextualSpacing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ИНН: </w:t>
      </w:r>
      <w:r>
        <w:rPr>
          <w:sz w:val="28"/>
          <w:szCs w:val="28"/>
        </w:rPr>
        <w:t xml:space="preserve">4205121451.</w:t>
      </w:r>
      <w:bookmarkEnd w:id="0"/>
      <w:r/>
      <w:r>
        <w:rPr>
          <w:sz w:val="28"/>
          <w:szCs w:val="28"/>
          <w14:ligatures w14:val="none"/>
        </w:rPr>
      </w:r>
    </w:p>
    <w:p>
      <w:pPr>
        <w:contextualSpacing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Адрес места нахождения: </w:t>
      </w:r>
      <w:r>
        <w:rPr>
          <w:sz w:val="28"/>
          <w:szCs w:val="28"/>
        </w:rPr>
        <w:t xml:space="preserve">650036</w:t>
      </w:r>
      <w:r>
        <w:rPr>
          <w:sz w:val="28"/>
          <w:szCs w:val="28"/>
        </w:rPr>
        <w:t xml:space="preserve">, г. Кемерово, </w:t>
      </w:r>
      <w:r>
        <w:rPr>
          <w:sz w:val="28"/>
          <w:szCs w:val="28"/>
        </w:rPr>
        <w:t xml:space="preserve">улица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Мирная</w:t>
      </w:r>
      <w:r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 xml:space="preserve">(384-2) 31-21-37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/>
      <w:bookmarkStart w:id="1" w:name="_Hlk225430314"/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 xml:space="preserve">dlk@kemles.ako.ru</w:t>
      </w:r>
      <w:r>
        <w:rPr>
          <w:sz w:val="28"/>
          <w:szCs w:val="28"/>
        </w:rPr>
        <w:t xml:space="preserve">, факс: </w:t>
      </w:r>
      <w:r>
        <w:rPr>
          <w:sz w:val="28"/>
          <w:szCs w:val="28"/>
        </w:rPr>
        <w:t xml:space="preserve">отсутствует</w:t>
      </w:r>
      <w:r>
        <w:rPr>
          <w:sz w:val="28"/>
          <w:szCs w:val="28"/>
        </w:rPr>
        <w:t xml:space="preserve">.</w:t>
      </w:r>
      <w:bookmarkEnd w:id="1"/>
      <w:r>
        <w:rPr>
          <w:sz w:val="28"/>
          <w:szCs w:val="28"/>
        </w:rPr>
      </w:r>
    </w:p>
    <w:p>
      <w:pPr>
        <w:contextualSpacing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Контактные данные ответственного лица со стороны заказчика:</w:t>
      </w:r>
      <w:r>
        <w:rPr>
          <w:bCs/>
          <w:sz w:val="28"/>
          <w:szCs w:val="28"/>
          <w:u w:val="single"/>
        </w:rPr>
      </w:r>
    </w:p>
    <w:p>
      <w:pPr>
        <w:contextualSpacing/>
        <w:jc w:val="both"/>
        <w:rPr>
          <w:sz w:val="28"/>
          <w:szCs w:val="28"/>
        </w:rPr>
      </w:pPr>
      <w:r/>
      <w:bookmarkStart w:id="2" w:name="_Hlk225430343"/>
      <w:r>
        <w:rPr>
          <w:sz w:val="28"/>
          <w:szCs w:val="28"/>
        </w:rPr>
        <w:t xml:space="preserve">Стяжкин Евгений Юрьевич, тел. 8 (384-2) 75-25-63, </w:t>
        <w:br/>
        <w:t xml:space="preserve">e-mail: styagkin@kemles.ako.ru</w:t>
      </w:r>
      <w:r>
        <w:rPr>
          <w:sz w:val="28"/>
          <w:szCs w:val="28"/>
        </w:rPr>
        <w:t xml:space="preserve">.</w:t>
      </w:r>
      <w:bookmarkEnd w:id="2"/>
      <w:r>
        <w:rPr>
          <w:sz w:val="28"/>
          <w:szCs w:val="28"/>
        </w:rPr>
      </w:r>
    </w:p>
    <w:p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both"/>
        <w:tabs>
          <w:tab w:val="left" w:pos="851" w:leader="none"/>
        </w:tabs>
        <w:rPr>
          <w:bCs/>
          <w:color w:val="000000" w:themeColor="text1"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Сведения об исполнителе:</w:t>
      </w:r>
      <w:r>
        <w:rPr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bCs/>
          <w:color w:val="000000" w:themeColor="text1"/>
          <w:sz w:val="28"/>
          <w:szCs w:val="28"/>
          <w:u w:val="single"/>
        </w:rPr>
      </w:r>
    </w:p>
    <w:p>
      <w:pPr>
        <w:contextualSpacing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наименование: </w:t>
      </w:r>
      <w:r>
        <w:rPr>
          <w:sz w:val="28"/>
          <w:szCs w:val="28"/>
        </w:rPr>
        <w:t xml:space="preserve">Министерство лесного комплекса и охотничьего хозяйства Кузбасса.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r>
        <w:rPr>
          <w:sz w:val="28"/>
          <w:szCs w:val="28"/>
        </w:rPr>
        <w:t xml:space="preserve">Министерство ЛК и ОХ Кузбасса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ОГРН: 1074205000924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ИНН: 4205121451.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нахождения: </w:t>
      </w:r>
      <w:r>
        <w:rPr>
          <w:sz w:val="28"/>
          <w:szCs w:val="28"/>
        </w:rPr>
        <w:t xml:space="preserve">650036, г. Кемерово, улица Мирная, д. 5.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 xml:space="preserve">(384-2) 31-21-37.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dlk@kemles.ako.ru, факс: отсутствует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Контактные данные ответственного лица со стороны заказчика:</w:t>
      </w:r>
      <w:r>
        <w:rPr>
          <w:bCs/>
          <w:sz w:val="28"/>
          <w:szCs w:val="28"/>
          <w:u w:val="single"/>
        </w:rPr>
      </w:r>
    </w:p>
    <w:p>
      <w:pPr>
        <w:contextualSpacing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Стяжкин Евгений Юрьевич, тел. 8 (384-2) 75-25-63, </w:t>
        <w:br/>
        <w:t xml:space="preserve">e-mail: </w:t>
      </w:r>
      <w:hyperlink r:id="rId10" w:tooltip="mailto:styagkin@kemles.ako.ru" w:history="1">
        <w:r>
          <w:rPr>
            <w:bCs/>
            <w:sz w:val="28"/>
            <w:szCs w:val="28"/>
            <w:u w:val="single"/>
          </w:rPr>
          <w:t xml:space="preserve">styagkin@kemles.ako.ru</w:t>
        </w:r>
      </w:hyperlink>
      <w:r>
        <w:rPr>
          <w:bCs/>
          <w:sz w:val="28"/>
          <w:szCs w:val="28"/>
          <w:u w:val="single"/>
        </w:rPr>
        <w:t xml:space="preserve">.</w:t>
      </w:r>
      <w:r>
        <w:rPr>
          <w:sz w:val="28"/>
          <w:szCs w:val="28"/>
        </w:rPr>
      </w:r>
    </w:p>
    <w:p>
      <w:pPr>
        <w:contextualSpacing/>
        <w:jc w:val="both"/>
        <w:tabs>
          <w:tab w:val="left" w:pos="851" w:leader="none"/>
        </w:tabs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Уполномоченный орган, ответственный за проведение общественных обсуждений:</w:t>
      </w:r>
      <w:r>
        <w:rPr>
          <w:bCs/>
          <w:sz w:val="28"/>
          <w:szCs w:val="28"/>
          <w:u w:val="single"/>
        </w:rPr>
      </w:r>
    </w:p>
    <w:p>
      <w:pPr>
        <w:contextualSpacing/>
        <w:jc w:val="both"/>
        <w:tabs>
          <w:tab w:val="left" w:pos="85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Полное наименование: </w:t>
      </w:r>
      <w:r>
        <w:rPr>
          <w:sz w:val="28"/>
          <w:szCs w:val="28"/>
        </w:rPr>
        <w:t xml:space="preserve">Министерство природных ресурсов и экологии Кузбасса.</w:t>
      </w:r>
      <w:r>
        <w:rPr>
          <w:bCs/>
          <w:sz w:val="28"/>
          <w:szCs w:val="28"/>
        </w:rPr>
      </w:r>
    </w:p>
    <w:p>
      <w:pPr>
        <w:contextualSpacing/>
        <w:jc w:val="both"/>
        <w:tabs>
          <w:tab w:val="left" w:pos="851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Сокращенное наименование: </w:t>
      </w:r>
      <w:r>
        <w:rPr>
          <w:sz w:val="28"/>
          <w:szCs w:val="28"/>
        </w:rPr>
        <w:t xml:space="preserve">МПР Кузбасса.</w:t>
      </w:r>
      <w:r>
        <w:rPr>
          <w:sz w:val="28"/>
          <w:szCs w:val="28"/>
        </w:rPr>
      </w:r>
    </w:p>
    <w:p>
      <w:pPr>
        <w:contextualSpacing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Адрес места нахождения: 650000, Кемеровская область – Кузбасс, г. Кемерово, пр. Советский, 63.</w:t>
      </w:r>
      <w:r>
        <w:rPr>
          <w:sz w:val="28"/>
          <w:szCs w:val="28"/>
        </w:rPr>
      </w:r>
    </w:p>
    <w:p>
      <w:pPr>
        <w:contextualSpacing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Телефон: 8 (3842) 58-55-56.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 xml:space="preserve">kea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ako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, факс: отсутствует.</w:t>
      </w:r>
      <w:r>
        <w:rPr>
          <w:sz w:val="28"/>
          <w:szCs w:val="28"/>
        </w:rPr>
      </w:r>
    </w:p>
    <w:p>
      <w:pPr>
        <w:contextualSpacing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Контактные данные ответственного лица со стороны уполномоченного органа:</w:t>
      </w:r>
      <w:r>
        <w:rPr>
          <w:bCs/>
          <w:sz w:val="28"/>
          <w:szCs w:val="28"/>
          <w:u w:val="single"/>
        </w:rPr>
      </w:r>
    </w:p>
    <w:p>
      <w:pPr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Ламырева Екатерина Владимировна</w:t>
      </w:r>
      <w:r>
        <w:rPr>
          <w:bCs/>
          <w:sz w:val="28"/>
          <w:szCs w:val="28"/>
          <w:highlight w:val="white"/>
        </w:rPr>
        <w:t xml:space="preserve"> – консультант отдела охраны окружающей среды и экологической экспертизы, </w:t>
      </w:r>
      <w:r>
        <w:rPr>
          <w:sz w:val="28"/>
          <w:szCs w:val="28"/>
          <w:highlight w:val="white"/>
        </w:rPr>
        <w:t xml:space="preserve">тел. 8 (3842) 58-74-37, </w:t>
      </w:r>
      <w:r>
        <w:rPr>
          <w:sz w:val="28"/>
          <w:szCs w:val="28"/>
          <w:highlight w:val="white"/>
          <w:lang w:val="en-US"/>
        </w:rPr>
        <w:t xml:space="preserve">e</w:t>
      </w: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  <w:lang w:val="en-US"/>
        </w:rPr>
        <w:t xml:space="preserve">mail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  <w:lang w:val="en-US"/>
        </w:rPr>
        <w:t xml:space="preserve">rev</w:t>
      </w:r>
      <w:r>
        <w:rPr>
          <w:sz w:val="28"/>
          <w:szCs w:val="28"/>
          <w:highlight w:val="white"/>
        </w:rPr>
        <w:t xml:space="preserve">@</w:t>
      </w:r>
      <w:r>
        <w:rPr>
          <w:sz w:val="28"/>
          <w:szCs w:val="28"/>
          <w:highlight w:val="white"/>
          <w:lang w:val="en-US"/>
        </w:rPr>
        <w:t xml:space="preserve">ako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ru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20" w:after="120"/>
        <w:rPr>
          <w:color w:val="000000" w:themeColor="text1"/>
          <w:sz w:val="28"/>
          <w:szCs w:val="28"/>
          <w:highlight w:val="white"/>
        </w:rPr>
      </w:pPr>
      <w:r>
        <w:rPr>
          <w:b/>
          <w:bCs/>
          <w:sz w:val="28"/>
          <w:szCs w:val="28"/>
          <w:u w:val="single"/>
        </w:rPr>
        <w:t xml:space="preserve">Наименование объекта обсуждений: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  <w:highlight w:val="white"/>
        </w:rPr>
        <w:t xml:space="preserve">Материалы, обосновывающие лимиты добычи и квоты добычи охотничьих ресурсов на террит</w:t>
      </w:r>
      <w:r>
        <w:rPr>
          <w:bCs/>
          <w:color w:val="000000" w:themeColor="text1"/>
          <w:sz w:val="28"/>
          <w:szCs w:val="28"/>
          <w:highlight w:val="white"/>
        </w:rPr>
        <w:t xml:space="preserve">ории Кемеровской области </w:t>
      </w:r>
      <w:r>
        <w:rPr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bCs/>
          <w:color w:val="000000" w:themeColor="text1"/>
          <w:sz w:val="28"/>
          <w:szCs w:val="28"/>
          <w:highlight w:val="white"/>
        </w:rPr>
        <w:t xml:space="preserve"> Кузбасса на период с 1 августа 202</w:t>
      </w:r>
      <w:r>
        <w:rPr>
          <w:bCs/>
          <w:color w:val="000000" w:themeColor="text1"/>
          <w:sz w:val="28"/>
          <w:szCs w:val="28"/>
          <w:highlight w:val="white"/>
        </w:rPr>
        <w:t xml:space="preserve">6</w:t>
      </w:r>
      <w:r>
        <w:rPr>
          <w:bCs/>
          <w:color w:val="000000" w:themeColor="text1"/>
          <w:sz w:val="28"/>
          <w:szCs w:val="28"/>
          <w:highlight w:val="white"/>
        </w:rPr>
        <w:t xml:space="preserve">г. до 1 августа 202</w:t>
      </w:r>
      <w:r>
        <w:rPr>
          <w:bCs/>
          <w:color w:val="000000" w:themeColor="text1"/>
          <w:sz w:val="28"/>
          <w:szCs w:val="28"/>
          <w:highlight w:val="white"/>
        </w:rPr>
        <w:t xml:space="preserve">7</w:t>
      </w:r>
      <w:r>
        <w:rPr>
          <w:bCs/>
          <w:color w:val="000000" w:themeColor="text1"/>
          <w:sz w:val="28"/>
          <w:szCs w:val="28"/>
          <w:highlight w:val="white"/>
        </w:rPr>
        <w:t xml:space="preserve">г., включая предварительные материалы оценки воздействия на окружающую среду</w:t>
      </w:r>
      <w:r>
        <w:rPr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both"/>
        <w:spacing w:before="120" w:after="120"/>
        <w:rPr>
          <w:color w:val="000000" w:themeColor="text1"/>
          <w:sz w:val="28"/>
          <w:szCs w:val="28"/>
          <w:highlight w:val="white"/>
        </w:rPr>
      </w:pPr>
      <w:r>
        <w:rPr>
          <w:b/>
          <w:bCs/>
          <w:sz w:val="28"/>
          <w:szCs w:val="28"/>
          <w:u w:val="single"/>
        </w:rPr>
        <w:t xml:space="preserve">Наименование планируемой хозяйственной и иной деятельности: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highlight w:val="white"/>
        </w:rPr>
        <w:t xml:space="preserve">Установление</w:t>
      </w:r>
      <w:r>
        <w:rPr>
          <w:bCs/>
          <w:sz w:val="28"/>
          <w:szCs w:val="28"/>
          <w:highlight w:val="white"/>
        </w:rPr>
        <w:t xml:space="preserve"> лимит</w:t>
      </w:r>
      <w:r>
        <w:rPr>
          <w:bCs/>
          <w:sz w:val="28"/>
          <w:szCs w:val="28"/>
          <w:highlight w:val="white"/>
        </w:rPr>
        <w:t xml:space="preserve">ов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добычи и квот добычи охотничьих ресурсов на территории Кемеровской области </w:t>
      </w:r>
      <w:r>
        <w:rPr>
          <w:bCs/>
          <w:color w:val="000000" w:themeColor="text1"/>
          <w:sz w:val="28"/>
          <w:szCs w:val="28"/>
          <w:highlight w:val="white"/>
        </w:rPr>
        <w:t xml:space="preserve">–</w:t>
      </w:r>
      <w:r>
        <w:rPr>
          <w:bCs/>
          <w:color w:val="000000" w:themeColor="text1"/>
          <w:sz w:val="28"/>
          <w:szCs w:val="28"/>
          <w:highlight w:val="white"/>
        </w:rPr>
        <w:t xml:space="preserve"> Кузбасса, на период с 1 августа 202</w:t>
      </w:r>
      <w:r>
        <w:rPr>
          <w:bCs/>
          <w:color w:val="000000" w:themeColor="text1"/>
          <w:sz w:val="28"/>
          <w:szCs w:val="28"/>
          <w:highlight w:val="white"/>
        </w:rPr>
        <w:t xml:space="preserve">6 </w:t>
      </w:r>
      <w:r>
        <w:rPr>
          <w:bCs/>
          <w:color w:val="000000" w:themeColor="text1"/>
          <w:sz w:val="28"/>
          <w:szCs w:val="28"/>
          <w:highlight w:val="white"/>
        </w:rPr>
        <w:t xml:space="preserve">г. до </w:t>
      </w:r>
      <w:r>
        <w:rPr>
          <w:bCs/>
          <w:color w:val="000000" w:themeColor="text1"/>
          <w:sz w:val="28"/>
          <w:szCs w:val="28"/>
          <w:highlight w:val="white"/>
        </w:rPr>
        <w:br/>
      </w:r>
      <w:r>
        <w:rPr>
          <w:bCs/>
          <w:color w:val="000000" w:themeColor="text1"/>
          <w:sz w:val="28"/>
          <w:szCs w:val="28"/>
          <w:highlight w:val="white"/>
        </w:rPr>
        <w:t xml:space="preserve">1 августа 202</w:t>
      </w:r>
      <w:r>
        <w:rPr>
          <w:bCs/>
          <w:color w:val="000000" w:themeColor="text1"/>
          <w:sz w:val="28"/>
          <w:szCs w:val="28"/>
          <w:highlight w:val="white"/>
        </w:rPr>
        <w:t xml:space="preserve">7 </w:t>
      </w:r>
      <w:r>
        <w:rPr>
          <w:bCs/>
          <w:color w:val="000000" w:themeColor="text1"/>
          <w:sz w:val="28"/>
          <w:szCs w:val="28"/>
          <w:highlight w:val="white"/>
        </w:rPr>
        <w:t xml:space="preserve">г.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before="120" w:after="120"/>
        <w:rPr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Цель планируемой </w:t>
      </w:r>
      <w:r>
        <w:rPr>
          <w:b/>
          <w:bCs/>
          <w:sz w:val="28"/>
          <w:szCs w:val="28"/>
          <w:u w:val="single"/>
        </w:rPr>
        <w:t xml:space="preserve">хозяйственной и иной деятельности: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highlight w:val="white"/>
        </w:rPr>
        <w:t xml:space="preserve">Обоснование и утверждение лимитов добычи и квот добычи охотничьих ресурсов на территории Кемеровской области </w:t>
      </w:r>
      <w:r>
        <w:rPr>
          <w:bCs/>
          <w:sz w:val="28"/>
          <w:szCs w:val="28"/>
          <w:highlight w:val="white"/>
        </w:rPr>
        <w:t xml:space="preserve">–</w:t>
      </w:r>
      <w:r>
        <w:rPr>
          <w:bCs/>
          <w:sz w:val="28"/>
          <w:szCs w:val="28"/>
          <w:highlight w:val="white"/>
        </w:rPr>
        <w:t xml:space="preserve"> Кузбасса на период с 1 августа 202</w:t>
      </w:r>
      <w:r>
        <w:rPr>
          <w:bCs/>
          <w:sz w:val="28"/>
          <w:szCs w:val="28"/>
          <w:highlight w:val="white"/>
        </w:rPr>
        <w:t xml:space="preserve">6 </w:t>
      </w:r>
      <w:r>
        <w:rPr>
          <w:bCs/>
          <w:sz w:val="28"/>
          <w:szCs w:val="28"/>
          <w:highlight w:val="white"/>
        </w:rPr>
        <w:t xml:space="preserve">г. до 1 авгу</w:t>
      </w:r>
      <w:r>
        <w:rPr>
          <w:bCs/>
          <w:color w:val="000000" w:themeColor="text1"/>
          <w:sz w:val="28"/>
          <w:szCs w:val="28"/>
          <w:highlight w:val="white"/>
        </w:rPr>
        <w:t xml:space="preserve">ста </w:t>
        <w:br/>
        <w:t xml:space="preserve">202</w:t>
      </w:r>
      <w:r>
        <w:rPr>
          <w:bCs/>
          <w:color w:val="000000" w:themeColor="text1"/>
          <w:sz w:val="28"/>
          <w:szCs w:val="28"/>
          <w:highlight w:val="white"/>
        </w:rPr>
        <w:t xml:space="preserve">7 </w:t>
      </w:r>
      <w:r>
        <w:rPr>
          <w:bCs/>
          <w:color w:val="000000" w:themeColor="text1"/>
          <w:sz w:val="28"/>
          <w:szCs w:val="28"/>
          <w:highlight w:val="white"/>
        </w:rPr>
        <w:t xml:space="preserve">г.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20" w:after="120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u w:val="single"/>
        </w:rPr>
        <w:t xml:space="preserve">Предварительное место реализации планируемой хозяйственной и иной деятельности: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highlight w:val="white"/>
        </w:rPr>
        <w:t xml:space="preserve">Общедоступные охотничьи угодья, закрепленные охотничьи угодья на территории муниципальных образований (округов, районов) Кемеровской области </w:t>
      </w:r>
      <w:r>
        <w:rPr>
          <w:bCs/>
          <w:sz w:val="28"/>
          <w:szCs w:val="28"/>
          <w:highlight w:val="white"/>
        </w:rPr>
        <w:t xml:space="preserve">–</w:t>
      </w:r>
      <w:r>
        <w:rPr>
          <w:bCs/>
          <w:sz w:val="28"/>
          <w:szCs w:val="28"/>
          <w:highlight w:val="white"/>
        </w:rPr>
        <w:t xml:space="preserve"> Кузбасса (Беловский муниципальный округ, Гурьевский муниципальный округ, Ижморский муниципальный округ, Кемеровский муниципальный округ, Крапивинский муниципа</w:t>
      </w:r>
      <w:r>
        <w:rPr>
          <w:bCs/>
          <w:sz w:val="28"/>
          <w:szCs w:val="28"/>
          <w:highlight w:val="white"/>
        </w:rPr>
        <w:t xml:space="preserve">льный округ, Ленинск-Кузнецкий муниципальный округ, Мариинский муниципальный округ, Междуреченский муниципальный округ, Новокузнецкий муниципальный округ, Прокопьевский муниципальный округ, Промышленновский муниципальный округ, Таштагольский муниципальный </w:t>
      </w:r>
      <w:r>
        <w:rPr>
          <w:bCs/>
          <w:sz w:val="28"/>
          <w:szCs w:val="28"/>
          <w:highlight w:val="white"/>
        </w:rPr>
        <w:t xml:space="preserve">округ</w:t>
      </w:r>
      <w:r>
        <w:rPr>
          <w:bCs/>
          <w:sz w:val="28"/>
          <w:szCs w:val="28"/>
          <w:highlight w:val="white"/>
        </w:rPr>
        <w:t xml:space="preserve">, Тисульский муниципальный округ, Топкинский муниципальный округ, Тяжинский муниципальный округ, Чебулинский муниципальный округ, Юргинский муниципальный округ, Яйский муниципальный округ, Яшкинский муниципальный округ).</w:t>
      </w:r>
      <w:r>
        <w:rPr>
          <w:sz w:val="28"/>
          <w:szCs w:val="28"/>
          <w:highlight w:val="white"/>
        </w:rPr>
      </w:r>
    </w:p>
    <w:p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jc w:val="both"/>
        <w:rPr>
          <w:b/>
          <w:sz w:val="28"/>
          <w:szCs w:val="28"/>
          <w:highlight w:val="white"/>
        </w:rPr>
      </w:pPr>
      <w:r/>
      <w:bookmarkStart w:id="3" w:name="_Hlk197435203"/>
      <w:r>
        <w:rPr>
          <w:b/>
          <w:sz w:val="28"/>
          <w:szCs w:val="28"/>
          <w:highlight w:val="white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>
        <w:rPr>
          <w:b/>
          <w:sz w:val="28"/>
          <w:szCs w:val="28"/>
          <w:u w:val="single"/>
        </w:rPr>
        <w:t xml:space="preserve">:</w:t>
      </w:r>
      <w:r>
        <w:rPr>
          <w:b/>
          <w:sz w:val="28"/>
          <w:szCs w:val="28"/>
          <w:highlight w:val="white"/>
        </w:rPr>
      </w:r>
    </w:p>
    <w:p>
      <w:pPr>
        <w:contextualSpacing/>
        <w:jc w:val="both"/>
        <w:spacing w:before="12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ознакомиться с материалами, выносимыми на общественное обсуждение, а также внести предложения и замечания, касающиеся объекта обсуждений можно:</w:t>
      </w:r>
      <w:r>
        <w:rPr>
          <w:bCs/>
          <w:sz w:val="28"/>
          <w:szCs w:val="28"/>
          <w:highlight w:val="white"/>
        </w:rPr>
      </w:r>
    </w:p>
    <w:p>
      <w:pPr>
        <w:pStyle w:val="897"/>
        <w:numPr>
          <w:ilvl w:val="0"/>
          <w:numId w:val="18"/>
        </w:numPr>
        <w:ind w:left="0" w:firstLine="349"/>
        <w:jc w:val="both"/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очно в печатном виде по адресу: 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г. Кемерово, улица Мирная, д. 5, 1 этаж,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104 кабинет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</w:r>
    </w:p>
    <w:p>
      <w:pPr>
        <w:pStyle w:val="897"/>
        <w:numPr>
          <w:ilvl w:val="0"/>
          <w:numId w:val="18"/>
        </w:numPr>
        <w:ind w:left="0" w:firstLine="349"/>
        <w:jc w:val="both"/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  <w:t xml:space="preserve">в форме электронного документа в сети «Интернет» по ссылке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https://kemles.ru/dokumenty/pravovye-akty-departamenta.php</w:t>
      </w:r>
      <w:r>
        <w:rPr>
          <w:rFonts w:ascii="Times New Roman" w:hAnsi="Times New Roman" w:eastAsia="Times New Roman"/>
          <w:bCs/>
          <w:sz w:val="28"/>
          <w:szCs w:val="28"/>
          <w:highlight w:val="white"/>
          <w:lang w:eastAsia="ru-RU"/>
        </w:rPr>
      </w:r>
    </w:p>
    <w:p>
      <w:pPr>
        <w:contextualSpacing/>
        <w:jc w:val="both"/>
        <w:rPr>
          <w:sz w:val="28"/>
          <w:szCs w:val="28"/>
        </w:rPr>
      </w:pPr>
      <w:r/>
      <w:bookmarkStart w:id="4" w:name="undefined"/>
      <w:r/>
      <w:bookmarkEnd w:id="3"/>
      <w:r>
        <w:rPr>
          <w:sz w:val="28"/>
          <w:szCs w:val="28"/>
        </w:rPr>
        <w:t xml:space="preserve">Дата открытия доступа</w:t>
      </w:r>
      <w:r>
        <w:rPr>
          <w:bCs/>
          <w:sz w:val="28"/>
          <w:szCs w:val="28"/>
          <w:highlight w:val="white"/>
        </w:rPr>
        <w:t xml:space="preserve">: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  <w:lang w:val="en-US"/>
        </w:rPr>
        <w:t xml:space="preserve">01</w:t>
      </w:r>
      <w:r>
        <w:rPr>
          <w:bCs/>
          <w:sz w:val="28"/>
          <w:szCs w:val="28"/>
          <w:highlight w:val="white"/>
        </w:rPr>
        <w:t xml:space="preserve">.</w:t>
      </w:r>
      <w:r>
        <w:rPr>
          <w:bCs/>
          <w:sz w:val="28"/>
          <w:szCs w:val="28"/>
          <w:highlight w:val="white"/>
        </w:rPr>
        <w:t xml:space="preserve">0</w:t>
      </w:r>
      <w:r>
        <w:rPr>
          <w:bCs/>
          <w:sz w:val="28"/>
          <w:szCs w:val="28"/>
          <w:highlight w:val="white"/>
        </w:rPr>
        <w:t xml:space="preserve">4</w:t>
      </w:r>
      <w:r>
        <w:rPr>
          <w:bCs/>
          <w:sz w:val="28"/>
          <w:szCs w:val="28"/>
          <w:highlight w:val="white"/>
        </w:rPr>
        <w:t xml:space="preserve">.2026</w:t>
      </w:r>
      <w:r>
        <w:rPr>
          <w:bCs/>
          <w:sz w:val="28"/>
          <w:szCs w:val="28"/>
          <w:highlight w:val="white"/>
        </w:rPr>
        <w:t xml:space="preserve">г</w:t>
      </w:r>
      <w:r>
        <w:rPr>
          <w:bCs/>
          <w:sz w:val="28"/>
          <w:szCs w:val="28"/>
          <w:highlight w:val="white"/>
        </w:rPr>
        <w:t xml:space="preserve">. Доступ обеспечен в период проведения общественных обсуждений с </w:t>
      </w:r>
      <w:r>
        <w:rPr>
          <w:bCs/>
          <w:sz w:val="28"/>
          <w:szCs w:val="28"/>
          <w:highlight w:val="white"/>
        </w:rPr>
        <w:t xml:space="preserve">01</w:t>
      </w:r>
      <w:r>
        <w:rPr>
          <w:bCs/>
          <w:sz w:val="28"/>
          <w:szCs w:val="28"/>
          <w:highlight w:val="white"/>
        </w:rPr>
        <w:t xml:space="preserve">.0</w:t>
      </w:r>
      <w:r>
        <w:rPr>
          <w:bCs/>
          <w:sz w:val="28"/>
          <w:szCs w:val="28"/>
          <w:highlight w:val="white"/>
        </w:rPr>
        <w:t xml:space="preserve">4</w:t>
      </w:r>
      <w:r>
        <w:rPr>
          <w:bCs/>
          <w:sz w:val="28"/>
          <w:szCs w:val="28"/>
          <w:highlight w:val="white"/>
        </w:rPr>
        <w:t xml:space="preserve">.2026</w:t>
      </w:r>
      <w:r>
        <w:rPr>
          <w:bCs/>
          <w:sz w:val="28"/>
          <w:szCs w:val="28"/>
          <w:highlight w:val="white"/>
        </w:rPr>
        <w:t xml:space="preserve">г.</w:t>
      </w:r>
      <w:r>
        <w:rPr>
          <w:bCs/>
          <w:sz w:val="28"/>
          <w:szCs w:val="28"/>
          <w:highlight w:val="white"/>
        </w:rPr>
        <w:t xml:space="preserve"> по </w:t>
      </w:r>
      <w:r>
        <w:rPr>
          <w:bCs/>
          <w:sz w:val="28"/>
          <w:szCs w:val="28"/>
          <w:highlight w:val="white"/>
        </w:rPr>
        <w:t xml:space="preserve">30</w:t>
      </w:r>
      <w:r>
        <w:rPr>
          <w:bCs/>
          <w:sz w:val="28"/>
          <w:szCs w:val="28"/>
          <w:highlight w:val="white"/>
        </w:rPr>
        <w:t xml:space="preserve">.0</w:t>
      </w:r>
      <w:r>
        <w:rPr>
          <w:bCs/>
          <w:sz w:val="28"/>
          <w:szCs w:val="28"/>
          <w:highlight w:val="white"/>
        </w:rPr>
        <w:t xml:space="preserve">4</w:t>
      </w:r>
      <w:r>
        <w:rPr>
          <w:bCs/>
          <w:sz w:val="28"/>
          <w:szCs w:val="28"/>
          <w:highlight w:val="white"/>
        </w:rPr>
        <w:t xml:space="preserve">.2026</w:t>
      </w:r>
      <w:r>
        <w:rPr>
          <w:bCs/>
          <w:sz w:val="28"/>
          <w:szCs w:val="28"/>
          <w:highlight w:val="white"/>
        </w:rPr>
        <w:t xml:space="preserve">г.</w:t>
      </w:r>
      <w:r>
        <w:rPr>
          <w:bCs/>
          <w:sz w:val="28"/>
          <w:szCs w:val="28"/>
          <w:highlight w:val="white"/>
        </w:rPr>
        <w:t xml:space="preserve"> включительно. Общий срок доступности 30 дней.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и </w:t>
      </w:r>
      <w:r>
        <w:rPr>
          <w:bCs/>
          <w:sz w:val="28"/>
          <w:szCs w:val="28"/>
          <w:highlight w:val="white"/>
        </w:rPr>
        <w:t xml:space="preserve">часы доступности в </w:t>
      </w:r>
      <w:r>
        <w:rPr>
          <w:bCs/>
          <w:sz w:val="28"/>
          <w:szCs w:val="28"/>
          <w:highlight w:val="white"/>
        </w:rPr>
        <w:t xml:space="preserve">Министерстве</w:t>
      </w:r>
      <w:r>
        <w:rPr>
          <w:bCs/>
          <w:sz w:val="28"/>
          <w:szCs w:val="28"/>
          <w:highlight w:val="white"/>
        </w:rPr>
        <w:t xml:space="preserve">: с понедельника по четверг с 9.00 до 17.00 (перерыв с 12.00 до 12.48), в пятницу с 9.00 до 16.00 (перерыв с 12.00 до 12.48), суббота</w:t>
      </w:r>
      <w:r>
        <w:rPr>
          <w:sz w:val="28"/>
          <w:szCs w:val="28"/>
        </w:rPr>
        <w:t xml:space="preserve">, воскресенье и праздничные дни - выходные дни.</w:t>
      </w:r>
      <w:r>
        <w:rPr>
          <w:sz w:val="28"/>
          <w:szCs w:val="28"/>
        </w:rPr>
      </w:r>
    </w:p>
    <w:p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Информация о размещении объекта общественных обсуждений в сети «Интернет»</w:t>
      </w:r>
      <w:r>
        <w:rPr>
          <w:b/>
          <w:bCs/>
          <w:sz w:val="28"/>
          <w:szCs w:val="28"/>
        </w:rPr>
      </w:r>
    </w:p>
    <w:p>
      <w:pPr>
        <w:contextualSpacing/>
        <w:jc w:val="both"/>
        <w:rPr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Для ознакомления в форме электронного документа в сети «Интернет» по ссылке </w:t>
      </w:r>
      <w:r>
        <w:rPr>
          <w:bCs/>
          <w:sz w:val="28"/>
          <w:szCs w:val="28"/>
          <w:highlight w:val="white"/>
        </w:rPr>
        <w:t xml:space="preserve">https://kemles.ru/dokumenty/pravovye-akty-departamenta.php </w:t>
      </w:r>
      <w:r>
        <w:rPr>
          <w:bCs/>
          <w:sz w:val="28"/>
          <w:szCs w:val="28"/>
          <w:highlight w:val="white"/>
        </w:rPr>
        <w:t xml:space="preserve">(официальный сайт исполнителя работ по оценке воздействия на окружающую среду </w:t>
      </w:r>
      <w:r>
        <w:rPr>
          <w:bCs/>
          <w:sz w:val="28"/>
          <w:szCs w:val="28"/>
          <w:highlight w:val="white"/>
        </w:rPr>
        <w:t xml:space="preserve">Министерство лесного комплекса и охотничьего хозяйства Кузбасса</w:t>
      </w:r>
      <w:r>
        <w:rPr>
          <w:bCs/>
          <w:sz w:val="28"/>
          <w:szCs w:val="28"/>
          <w:highlight w:val="white"/>
        </w:rPr>
        <w:t xml:space="preserve"> - раздел «</w:t>
      </w:r>
      <w:r>
        <w:rPr>
          <w:bCs/>
          <w:sz w:val="28"/>
          <w:szCs w:val="28"/>
          <w:highlight w:val="white"/>
        </w:rPr>
        <w:t xml:space="preserve">Документы</w:t>
      </w:r>
      <w:r>
        <w:rPr>
          <w:bCs/>
          <w:sz w:val="28"/>
          <w:szCs w:val="28"/>
          <w:highlight w:val="white"/>
        </w:rPr>
        <w:t xml:space="preserve">» - «</w:t>
      </w:r>
      <w:r>
        <w:rPr>
          <w:bCs/>
          <w:sz w:val="28"/>
          <w:szCs w:val="28"/>
          <w:highlight w:val="white"/>
        </w:rPr>
        <w:t xml:space="preserve">Правовые акты Министерства</w:t>
      </w:r>
      <w:r>
        <w:rPr>
          <w:bCs/>
          <w:sz w:val="28"/>
          <w:szCs w:val="28"/>
          <w:highlight w:val="white"/>
        </w:rPr>
        <w:t xml:space="preserve">»).</w:t>
      </w:r>
      <w:r>
        <w:rPr>
          <w:bCs/>
          <w:sz w:val="28"/>
          <w:szCs w:val="28"/>
          <w:highlight w:val="whit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размещения: </w:t>
      </w:r>
      <w:r>
        <w:rPr>
          <w:bCs/>
          <w:sz w:val="28"/>
          <w:szCs w:val="28"/>
          <w:highlight w:val="white"/>
        </w:rPr>
        <w:t xml:space="preserve">01</w:t>
      </w:r>
      <w:r>
        <w:rPr>
          <w:bCs/>
          <w:sz w:val="28"/>
          <w:szCs w:val="28"/>
          <w:highlight w:val="white"/>
        </w:rPr>
        <w:t xml:space="preserve">.0</w:t>
      </w:r>
      <w:r>
        <w:rPr>
          <w:bCs/>
          <w:sz w:val="28"/>
          <w:szCs w:val="28"/>
          <w:highlight w:val="white"/>
        </w:rPr>
        <w:t xml:space="preserve">4</w:t>
      </w:r>
      <w:r>
        <w:rPr>
          <w:bCs/>
          <w:sz w:val="28"/>
          <w:szCs w:val="28"/>
          <w:highlight w:val="white"/>
        </w:rPr>
        <w:t xml:space="preserve">.2026</w:t>
      </w:r>
      <w:r>
        <w:rPr>
          <w:bCs/>
          <w:sz w:val="28"/>
          <w:szCs w:val="28"/>
          <w:highlight w:val="white"/>
        </w:rPr>
        <w:t xml:space="preserve"> Доступ обеспечен в период проведения общественных обсуждений с </w:t>
      </w:r>
      <w:r>
        <w:rPr>
          <w:bCs/>
          <w:sz w:val="28"/>
          <w:szCs w:val="28"/>
          <w:highlight w:val="white"/>
        </w:rPr>
        <w:t xml:space="preserve">01</w:t>
      </w:r>
      <w:r>
        <w:rPr>
          <w:bCs/>
          <w:sz w:val="28"/>
          <w:szCs w:val="28"/>
          <w:highlight w:val="white"/>
        </w:rPr>
        <w:t xml:space="preserve">.0</w:t>
      </w:r>
      <w:r>
        <w:rPr>
          <w:bCs/>
          <w:sz w:val="28"/>
          <w:szCs w:val="28"/>
          <w:highlight w:val="white"/>
        </w:rPr>
        <w:t xml:space="preserve">4</w:t>
      </w:r>
      <w:r>
        <w:rPr>
          <w:bCs/>
          <w:sz w:val="28"/>
          <w:szCs w:val="28"/>
          <w:highlight w:val="white"/>
        </w:rPr>
        <w:t xml:space="preserve">.2026</w:t>
      </w:r>
      <w:r>
        <w:rPr>
          <w:bCs/>
          <w:sz w:val="28"/>
          <w:szCs w:val="28"/>
          <w:highlight w:val="white"/>
        </w:rPr>
        <w:t xml:space="preserve"> по </w:t>
      </w:r>
      <w:r>
        <w:rPr>
          <w:bCs/>
          <w:sz w:val="28"/>
          <w:szCs w:val="28"/>
          <w:highlight w:val="white"/>
        </w:rPr>
        <w:t xml:space="preserve">30</w:t>
      </w:r>
      <w:r>
        <w:rPr>
          <w:bCs/>
          <w:sz w:val="28"/>
          <w:szCs w:val="28"/>
          <w:highlight w:val="white"/>
        </w:rPr>
        <w:t xml:space="preserve">.0</w:t>
      </w:r>
      <w:r>
        <w:rPr>
          <w:bCs/>
          <w:sz w:val="28"/>
          <w:szCs w:val="28"/>
          <w:highlight w:val="white"/>
        </w:rPr>
        <w:t xml:space="preserve">4</w:t>
      </w:r>
      <w:r>
        <w:rPr>
          <w:bCs/>
          <w:sz w:val="28"/>
          <w:szCs w:val="28"/>
          <w:highlight w:val="white"/>
        </w:rPr>
        <w:t xml:space="preserve">.2026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</w:rPr>
        <w:t xml:space="preserve">включительно</w:t>
      </w:r>
      <w:r>
        <w:rPr>
          <w:sz w:val="28"/>
          <w:szCs w:val="28"/>
        </w:rPr>
        <w:t xml:space="preserve"> без временного ограничения (круглосуточно 7 дней в неделю). Общий срок доступности объекта обсуждений в сети «Интернет» 30 дней.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Окончательные материалы оценки воздействия на окружающую среду</w:t>
      </w:r>
      <w:r>
        <w:rPr>
          <w:sz w:val="28"/>
          <w:szCs w:val="28"/>
        </w:rPr>
        <w:t xml:space="preserve">, утвержденные заказчиком, в соответствии с п. 51 Прави</w:t>
      </w:r>
      <w:r>
        <w:rPr>
          <w:sz w:val="28"/>
          <w:szCs w:val="28"/>
        </w:rPr>
        <w:t xml:space="preserve">л проведения оценки воздействия на окружающую среду, утвержденных Постановлением Правительства РФ от 28.11.2024 № 1644 «О порядке проведения оценки воздействия на окружающую среду», будут размещены в открытом доступе в сети «Интернет» на 30 дней по ссылке:</w:t>
      </w:r>
      <w:bookmarkEnd w:id="4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https://kemles.ru/dokumenty/pravovye-akty-departamenta.php (официальный сайт исполнителя работ по оценке воздействия на окружающую среду Министерство лесного комплекса и охотничьего хозяйства Кузбасса - раздел «Документы» - «Правовые акты Министерства»).</w:t>
      </w:r>
      <w:r>
        <w:rPr>
          <w:sz w:val="28"/>
          <w:szCs w:val="28"/>
        </w:rPr>
      </w:r>
    </w:p>
    <w:p>
      <w:pPr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>
        <w:rPr>
          <w:b/>
          <w:sz w:val="28"/>
          <w:szCs w:val="28"/>
          <w:u w:val="single"/>
        </w:rPr>
      </w:r>
    </w:p>
    <w:p>
      <w:pPr>
        <w:contextualSpacing/>
        <w:jc w:val="both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течение всего периода размещения объекта обсуждений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01</w:t>
      </w:r>
      <w:r>
        <w:rPr>
          <w:bCs/>
          <w:sz w:val="28"/>
          <w:szCs w:val="28"/>
        </w:rPr>
        <w:t xml:space="preserve">.0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.2026</w:t>
      </w:r>
      <w:r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 xml:space="preserve">30</w:t>
      </w:r>
      <w:r>
        <w:rPr>
          <w:bCs/>
          <w:sz w:val="28"/>
          <w:szCs w:val="28"/>
        </w:rPr>
        <w:t xml:space="preserve">.0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.2026</w:t>
      </w:r>
      <w:r>
        <w:rPr>
          <w:bCs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  <w:r>
        <w:rPr>
          <w:bCs/>
          <w:sz w:val="28"/>
          <w:szCs w:val="28"/>
        </w:rPr>
      </w:r>
    </w:p>
    <w:p>
      <w:pPr>
        <w:contextualSpacing/>
        <w:jc w:val="both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письменной форме в адрес уполномоченного органа (</w:t>
      </w:r>
      <w:r>
        <w:rPr>
          <w:sz w:val="28"/>
          <w:szCs w:val="28"/>
        </w:rPr>
        <w:t xml:space="preserve">Министерство природных ресурсов и экологии Кузбасса</w:t>
      </w:r>
      <w:r>
        <w:rPr>
          <w:bCs/>
          <w:sz w:val="28"/>
          <w:szCs w:val="28"/>
        </w:rPr>
        <w:t xml:space="preserve">) по адресу: </w:t>
      </w:r>
      <w:r>
        <w:rPr>
          <w:sz w:val="28"/>
          <w:szCs w:val="28"/>
        </w:rPr>
        <w:t xml:space="preserve">650000, Кемеровская область-Кузбасс, пр. Советский, 63, с пометкой «К общественным обсуждениям»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contextualSpacing/>
        <w:jc w:val="both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форме электронного документа по адресу электронной почты ответственного лица уполномоченного органа (</w:t>
      </w:r>
      <w:r>
        <w:rPr>
          <w:sz w:val="28"/>
          <w:szCs w:val="28"/>
        </w:rPr>
        <w:t xml:space="preserve">Министерство природных ресурсов и экологии Кузбасса</w:t>
      </w:r>
      <w:r>
        <w:rPr>
          <w:bCs/>
          <w:sz w:val="28"/>
          <w:szCs w:val="28"/>
        </w:rPr>
        <w:t xml:space="preserve">): </w:t>
      </w:r>
      <w:r>
        <w:rPr>
          <w:sz w:val="28"/>
          <w:szCs w:val="28"/>
          <w:lang w:val="en-US"/>
        </w:rPr>
        <w:t xml:space="preserve">rev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ako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с пометкой «К общественным обсуждениям»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contextualSpacing/>
        <w:jc w:val="both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посредством записи в журнале учета участников общественных обсуждений, очно ознакомляющихся с объектом обсуждений, и их замечаний, и предложений (по месту нахождения печатной формы объекта обсуждений).</w:t>
      </w:r>
      <w:r>
        <w:rPr>
          <w:bCs/>
          <w:sz w:val="28"/>
          <w:szCs w:val="28"/>
        </w:rPr>
      </w:r>
    </w:p>
    <w:p>
      <w:pPr>
        <w:contextualSpacing/>
        <w:jc w:val="both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</w:t>
      </w:r>
      <w:r>
        <w:rPr>
          <w:bCs/>
          <w:sz w:val="28"/>
          <w:szCs w:val="28"/>
        </w:rPr>
      </w:r>
    </w:p>
    <w:p>
      <w:pPr>
        <w:contextualSpacing/>
        <w:jc w:val="both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bCs/>
          <w:sz w:val="28"/>
          <w:szCs w:val="28"/>
        </w:rPr>
      </w:r>
    </w:p>
    <w:p>
      <w:pPr>
        <w:contextualSpacing/>
        <w:jc w:val="both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для юридических лиц - полное и сокращенное (при наличии) наиме</w:t>
      </w:r>
      <w:r>
        <w:rPr>
          <w:bCs/>
          <w:sz w:val="28"/>
          <w:szCs w:val="28"/>
        </w:rPr>
        <w:t xml:space="preserve">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r>
        <w:rPr>
          <w:bCs/>
          <w:sz w:val="28"/>
          <w:szCs w:val="28"/>
        </w:rPr>
      </w:r>
    </w:p>
    <w:p>
      <w:pPr>
        <w:contextualSpacing/>
        <w:jc w:val="both"/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согласие на обработку персональных данных в соответствии с законодательством Российской Федерации в области персональных данных;</w:t>
      </w:r>
      <w:r>
        <w:rPr>
          <w:bCs/>
          <w:sz w:val="28"/>
          <w:szCs w:val="28"/>
        </w:rPr>
      </w:r>
    </w:p>
    <w:p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согласие на участие в подписании протокола общественных обсуждений, а также способ направления и подписания указанного протокола с учетом положений абзаца первого пункта 41 и пунктов 42 - 44 Правил </w:t>
      </w:r>
      <w:r>
        <w:rPr>
          <w:sz w:val="28"/>
          <w:szCs w:val="28"/>
        </w:rPr>
        <w:t xml:space="preserve">проведения оценки воздействия на окружающую среду, утвержденных Постановлением Правительства РФ от 28.11.2024 № 1644 «О порядке проведения оценки воздействия на окружающую среду»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МПР Кузбасса разделе «Общественные обсуждения».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Информация о возможности проведения по инициативе граждан слушаний, о порядке инициирования гражданами проведения слушаний:</w:t>
      </w:r>
      <w:r>
        <w:rPr>
          <w:b/>
          <w:bCs/>
          <w:sz w:val="28"/>
          <w:szCs w:val="28"/>
        </w:rPr>
      </w:r>
    </w:p>
    <w:p>
      <w:pPr>
        <w:contextualSpacing/>
        <w:jc w:val="both"/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Внимание!</w:t>
      </w:r>
      <w:r>
        <w:rPr>
          <w:sz w:val="28"/>
          <w:szCs w:val="28"/>
        </w:rPr>
        <w:t xml:space="preserve"> В соответ</w:t>
      </w:r>
      <w:r>
        <w:rPr>
          <w:sz w:val="28"/>
          <w:szCs w:val="28"/>
        </w:rPr>
        <w:t xml:space="preserve">ствии с п. 23 Правил проведения оценки воздействия на окружающую среду, утвержденных Постановлением Правите</w:t>
      </w:r>
      <w:r>
        <w:rPr>
          <w:sz w:val="28"/>
          <w:szCs w:val="28"/>
        </w:rPr>
        <w:t xml:space="preserve">льства РФ от 28.11.2024 № 1644 «О порядке проведения оценки воздействия на окружающую среду», проведение слушаний может быть инициировано гражданами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вклю</w:t>
      </w:r>
      <w:r>
        <w:rPr>
          <w:sz w:val="28"/>
          <w:szCs w:val="28"/>
        </w:rPr>
        <w:t xml:space="preserve">чительно (в течение 7 календарных дней с даты </w:t>
      </w:r>
      <w:r>
        <w:rPr>
          <w:sz w:val="28"/>
          <w:szCs w:val="28"/>
        </w:rPr>
        <w:t xml:space="preserve">размещения заказчиком (исполнителем) для ознакомления общественности объекта обсуждений) путем направления в указанный срок в уполномоченный орган (МПР Кузбасса) соответствующей инициативы в произвольной форме:</w:t>
      </w:r>
      <w:r>
        <w:rPr>
          <w:sz w:val="28"/>
          <w:szCs w:val="28"/>
        </w:rPr>
      </w:r>
    </w:p>
    <w:p>
      <w:pPr>
        <w:contextualSpacing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по адресу: 650000, Кемеровская область – Кузбасс,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Советский, 63;</w:t>
      </w:r>
      <w:r>
        <w:rPr>
          <w:sz w:val="28"/>
          <w:szCs w:val="28"/>
        </w:rPr>
      </w:r>
    </w:p>
    <w:p>
      <w:pPr>
        <w:contextualSpacing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- в форме электронного документа по адресу электронной почты: </w:t>
      </w:r>
      <w:r>
        <w:rPr>
          <w:sz w:val="28"/>
          <w:szCs w:val="28"/>
          <w:lang w:val="en-US"/>
        </w:rPr>
        <w:t xml:space="preserve">rev</w:t>
      </w:r>
      <w:r>
        <w:rPr>
          <w:sz w:val="28"/>
          <w:szCs w:val="28"/>
        </w:rPr>
        <w:t xml:space="preserve">@</w:t>
      </w:r>
      <w:r>
        <w:rPr>
          <w:sz w:val="28"/>
          <w:szCs w:val="28"/>
          <w:lang w:val="en-US"/>
        </w:rPr>
        <w:t xml:space="preserve">ako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 с пометкой «Инициатива о проведении слушаний».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внесении инициативы о проведении слушаний гражданином указываются следующие сведения: фамилия, им</w:t>
      </w:r>
      <w:r>
        <w:rPr>
          <w:sz w:val="28"/>
          <w:szCs w:val="28"/>
        </w:rPr>
        <w:t xml:space="preserve">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Типовая форма согласия на обработку персональных данных размещена в сети «Интернет» на официальном сайте МПР Кузбасса разделе «Общественные обсуждения».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гражданином указанных сведений МПР Кузбасса может быть отказано в проведении слушаний.</w:t>
      </w:r>
      <w:r>
        <w:rPr>
          <w:sz w:val="28"/>
          <w:szCs w:val="28"/>
        </w:rPr>
      </w:r>
    </w:p>
    <w:sectPr>
      <w:footnotePr/>
      <w:endnotePr/>
      <w:type w:val="nextPage"/>
      <w:pgSz w:w="11909" w:h="16834" w:orient="portrait"/>
      <w:pgMar w:top="1134" w:right="567" w:bottom="1134" w:left="1701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ptos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244" w:hanging="705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09" w:hanging="870"/>
        <w:tabs>
          <w:tab w:val="num" w:pos="1409" w:leader="none"/>
        </w:tabs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  <w:tabs>
          <w:tab w:val="num" w:pos="161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  <w:tabs>
          <w:tab w:val="num" w:pos="233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  <w:tabs>
          <w:tab w:val="num" w:pos="305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  <w:tabs>
          <w:tab w:val="num" w:pos="377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  <w:tabs>
          <w:tab w:val="num" w:pos="449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  <w:tabs>
          <w:tab w:val="num" w:pos="521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  <w:tabs>
          <w:tab w:val="num" w:pos="593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  <w:tabs>
          <w:tab w:val="num" w:pos="665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9" w:hanging="870"/>
        <w:tabs>
          <w:tab w:val="num" w:pos="140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  <w:tabs>
          <w:tab w:val="num" w:pos="161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  <w:tabs>
          <w:tab w:val="num" w:pos="233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  <w:tabs>
          <w:tab w:val="num" w:pos="305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  <w:tabs>
          <w:tab w:val="num" w:pos="377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  <w:tabs>
          <w:tab w:val="num" w:pos="449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  <w:tabs>
          <w:tab w:val="num" w:pos="521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  <w:tabs>
          <w:tab w:val="num" w:pos="593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  <w:tabs>
          <w:tab w:val="num" w:pos="665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bullet"/>
      <w:isLgl w:val="false"/>
      <w:suff w:val="tab"/>
      <w:lvlText w:val="•"/>
      <w:lvlJc w:val="left"/>
      <w:pPr>
        <w:ind w:left="1244" w:hanging="705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59" w:hanging="360"/>
        <w:tabs>
          <w:tab w:val="num" w:pos="125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  <w:tabs>
          <w:tab w:val="num" w:pos="197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  <w:tabs>
          <w:tab w:val="num" w:pos="269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  <w:tabs>
          <w:tab w:val="num" w:pos="341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  <w:tabs>
          <w:tab w:val="num" w:pos="413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  <w:tabs>
          <w:tab w:val="num" w:pos="485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  <w:tabs>
          <w:tab w:val="num" w:pos="557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  <w:tabs>
          <w:tab w:val="num" w:pos="629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  <w:tabs>
          <w:tab w:val="num" w:pos="7019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59" w:hanging="360"/>
        <w:tabs>
          <w:tab w:val="num" w:pos="1259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979" w:hanging="360"/>
        <w:tabs>
          <w:tab w:val="num" w:pos="1979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  <w:tabs>
          <w:tab w:val="num" w:pos="269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  <w:tabs>
          <w:tab w:val="num" w:pos="341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  <w:tabs>
          <w:tab w:val="num" w:pos="413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  <w:tabs>
          <w:tab w:val="num" w:pos="485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  <w:tabs>
          <w:tab w:val="num" w:pos="557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  <w:tabs>
          <w:tab w:val="num" w:pos="629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  <w:tabs>
          <w:tab w:val="num" w:pos="7019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5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16"/>
  </w:num>
  <w:num w:numId="9">
    <w:abstractNumId w:val="0"/>
  </w:num>
  <w:num w:numId="10">
    <w:abstractNumId w:val="10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  <w:num w:numId="15">
    <w:abstractNumId w:val="7"/>
  </w:num>
  <w:num w:numId="16">
    <w:abstractNumId w:val="11"/>
  </w:num>
  <w:num w:numId="17">
    <w:abstractNumId w:val="17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 w:default="1">
    <w:name w:val="Normal"/>
    <w:qFormat/>
    <w:rPr>
      <w:sz w:val="24"/>
      <w:szCs w:val="24"/>
    </w:rPr>
  </w:style>
  <w:style w:type="paragraph" w:styleId="692">
    <w:name w:val="Heading 1"/>
    <w:basedOn w:val="691"/>
    <w:next w:val="691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next w:val="691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06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Heading 6 Char"/>
    <w:basedOn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Heading 7 Char"/>
    <w:basedOn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1"/>
    <w:uiPriority w:val="10"/>
    <w:rPr>
      <w:sz w:val="48"/>
      <w:szCs w:val="48"/>
    </w:rPr>
  </w:style>
  <w:style w:type="character" w:styleId="714" w:customStyle="1">
    <w:name w:val="Subtitle Char"/>
    <w:basedOn w:val="701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1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</w:style>
  <w:style w:type="paragraph" w:styleId="730">
    <w:name w:val="Title"/>
    <w:basedOn w:val="691"/>
    <w:next w:val="691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Заголовок Знак"/>
    <w:basedOn w:val="701"/>
    <w:link w:val="730"/>
    <w:uiPriority w:val="10"/>
    <w:rPr>
      <w:sz w:val="48"/>
      <w:szCs w:val="48"/>
    </w:rPr>
  </w:style>
  <w:style w:type="paragraph" w:styleId="732">
    <w:name w:val="Subtitle"/>
    <w:basedOn w:val="691"/>
    <w:next w:val="691"/>
    <w:link w:val="733"/>
    <w:uiPriority w:val="11"/>
    <w:qFormat/>
    <w:pPr>
      <w:spacing w:before="200" w:after="200"/>
    </w:pPr>
  </w:style>
  <w:style w:type="character" w:styleId="733" w:customStyle="1">
    <w:name w:val="Подзаголовок Знак"/>
    <w:basedOn w:val="701"/>
    <w:link w:val="732"/>
    <w:uiPriority w:val="11"/>
    <w:rPr>
      <w:sz w:val="24"/>
      <w:szCs w:val="24"/>
    </w:rPr>
  </w:style>
  <w:style w:type="paragraph" w:styleId="734">
    <w:name w:val="Quote"/>
    <w:basedOn w:val="691"/>
    <w:next w:val="691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1"/>
    <w:next w:val="691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91"/>
    <w:link w:val="7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9" w:customStyle="1">
    <w:name w:val="Верхний колонтитул Знак"/>
    <w:basedOn w:val="701"/>
    <w:link w:val="738"/>
    <w:uiPriority w:val="99"/>
  </w:style>
  <w:style w:type="paragraph" w:styleId="740">
    <w:name w:val="Footer"/>
    <w:basedOn w:val="691"/>
    <w:link w:val="74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701"/>
    <w:uiPriority w:val="99"/>
  </w:style>
  <w:style w:type="paragraph" w:styleId="742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3" w:customStyle="1">
    <w:name w:val="Нижний колонтитул Знак"/>
    <w:link w:val="740"/>
    <w:uiPriority w:val="99"/>
  </w:style>
  <w:style w:type="table" w:styleId="744">
    <w:name w:val="Table Grid"/>
    <w:basedOn w:val="70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5" w:customStyle="1">
    <w:name w:val="Table Grid Light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0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0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0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0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0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0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0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0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0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0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0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0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0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0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0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0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0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0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0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0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0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0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0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0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0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0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0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0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0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0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0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0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0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0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0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0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0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0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0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0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0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0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0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0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0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0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0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0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0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0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0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0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0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0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0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0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 w:customStyle="1">
    <w:name w:val="Footnote Text Char"/>
    <w:uiPriority w:val="99"/>
    <w:rPr>
      <w:sz w:val="18"/>
    </w:rPr>
  </w:style>
  <w:style w:type="paragraph" w:styleId="871">
    <w:name w:val="endnote text"/>
    <w:basedOn w:val="691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01"/>
    <w:uiPriority w:val="99"/>
    <w:semiHidden/>
    <w:unhideWhenUsed/>
    <w:rPr>
      <w:vertAlign w:val="superscript"/>
    </w:rPr>
  </w:style>
  <w:style w:type="paragraph" w:styleId="874">
    <w:name w:val="toc 1"/>
    <w:basedOn w:val="691"/>
    <w:next w:val="691"/>
    <w:uiPriority w:val="39"/>
    <w:unhideWhenUsed/>
    <w:pPr>
      <w:spacing w:after="57"/>
    </w:pPr>
  </w:style>
  <w:style w:type="paragraph" w:styleId="875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76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77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78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79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80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81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82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91"/>
    <w:next w:val="691"/>
    <w:uiPriority w:val="99"/>
    <w:unhideWhenUsed/>
  </w:style>
  <w:style w:type="character" w:styleId="885" w:customStyle="1">
    <w:name w:val="director"/>
    <w:semiHidden/>
    <w:rPr>
      <w:rFonts w:ascii="Arial" w:hAnsi="Arial" w:cs="Arial"/>
      <w:color w:val="auto"/>
      <w:sz w:val="20"/>
      <w:szCs w:val="20"/>
    </w:rPr>
  </w:style>
  <w:style w:type="paragraph" w:styleId="886">
    <w:name w:val="footnote text"/>
    <w:basedOn w:val="691"/>
    <w:link w:val="887"/>
    <w:rPr>
      <w:sz w:val="20"/>
      <w:szCs w:val="20"/>
    </w:rPr>
  </w:style>
  <w:style w:type="character" w:styleId="887" w:customStyle="1">
    <w:name w:val="Текст сноски Знак"/>
    <w:basedOn w:val="701"/>
    <w:link w:val="886"/>
  </w:style>
  <w:style w:type="character" w:styleId="888">
    <w:name w:val="footnote reference"/>
    <w:rPr>
      <w:vertAlign w:val="superscript"/>
    </w:rPr>
  </w:style>
  <w:style w:type="character" w:styleId="889">
    <w:name w:val="Hyperlink"/>
    <w:rPr>
      <w:color w:val="0000ff"/>
      <w:u w:val="single"/>
    </w:rPr>
  </w:style>
  <w:style w:type="character" w:styleId="890">
    <w:name w:val="annotation reference"/>
    <w:rPr>
      <w:sz w:val="16"/>
      <w:szCs w:val="16"/>
    </w:rPr>
  </w:style>
  <w:style w:type="paragraph" w:styleId="891">
    <w:name w:val="annotation text"/>
    <w:basedOn w:val="691"/>
    <w:link w:val="892"/>
    <w:rPr>
      <w:sz w:val="20"/>
      <w:szCs w:val="20"/>
    </w:rPr>
  </w:style>
  <w:style w:type="character" w:styleId="892" w:customStyle="1">
    <w:name w:val="Текст примечания Знак"/>
    <w:basedOn w:val="701"/>
    <w:link w:val="891"/>
  </w:style>
  <w:style w:type="paragraph" w:styleId="893">
    <w:name w:val="annotation subject"/>
    <w:basedOn w:val="891"/>
    <w:next w:val="891"/>
    <w:link w:val="894"/>
    <w:rPr>
      <w:b/>
      <w:bCs/>
    </w:rPr>
  </w:style>
  <w:style w:type="character" w:styleId="894" w:customStyle="1">
    <w:name w:val="Тема примечания Знак"/>
    <w:link w:val="893"/>
    <w:rPr>
      <w:b/>
      <w:bCs/>
    </w:rPr>
  </w:style>
  <w:style w:type="paragraph" w:styleId="895">
    <w:name w:val="Balloon Text"/>
    <w:basedOn w:val="691"/>
    <w:link w:val="896"/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link w:val="895"/>
    <w:rPr>
      <w:rFonts w:ascii="Tahoma" w:hAnsi="Tahoma" w:cs="Tahoma"/>
      <w:sz w:val="16"/>
      <w:szCs w:val="16"/>
    </w:rPr>
  </w:style>
  <w:style w:type="paragraph" w:styleId="897">
    <w:name w:val="List Paragraph"/>
    <w:basedOn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8" w:customStyle="1">
    <w:name w:val="apple-converted-space"/>
  </w:style>
  <w:style w:type="paragraph" w:styleId="899" w:customStyle="1">
    <w:name w:val="s_1"/>
    <w:basedOn w:val="691"/>
    <w:pPr>
      <w:spacing w:before="100" w:beforeAutospacing="1" w:after="100" w:afterAutospacing="1"/>
    </w:pPr>
  </w:style>
  <w:style w:type="paragraph" w:styleId="900" w:customStyle="1">
    <w:name w:val="ConsPlusNormal"/>
    <w:rPr>
      <w:sz w:val="24"/>
      <w:szCs w:val="24"/>
    </w:rPr>
  </w:style>
  <w:style w:type="character" w:styleId="901" w:customStyle="1">
    <w:name w:val="Font Style18"/>
    <w:uiPriority w:val="99"/>
    <w:rPr>
      <w:rFonts w:ascii="Arial" w:hAnsi="Arial" w:cs="Arial"/>
      <w:sz w:val="16"/>
      <w:szCs w:val="16"/>
    </w:rPr>
  </w:style>
  <w:style w:type="character" w:styleId="902" w:customStyle="1">
    <w:name w:val="Основной текст1"/>
    <w:basedOn w:val="701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03" w:customStyle="1">
    <w:name w:val="Неразрешенное упоминание1"/>
    <w:basedOn w:val="701"/>
    <w:uiPriority w:val="99"/>
    <w:semiHidden/>
    <w:unhideWhenUsed/>
    <w:rPr>
      <w:color w:val="605e5c"/>
      <w:shd w:val="clear" w:color="auto" w:fill="e1dfdd"/>
    </w:rPr>
  </w:style>
  <w:style w:type="character" w:styleId="904">
    <w:name w:val="Unresolved Mention"/>
    <w:basedOn w:val="701"/>
    <w:uiPriority w:val="99"/>
    <w:semiHidden/>
    <w:unhideWhenUsed/>
    <w:rPr>
      <w:color w:val="605e5c"/>
      <w:shd w:val="clear" w:color="auto" w:fill="e1dfdd"/>
    </w:rPr>
  </w:style>
  <w:style w:type="character" w:styleId="905">
    <w:name w:val="FollowedHyperlink"/>
    <w:basedOn w:val="701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styagkin@kemles.ak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5412-19BC-4496-84A9-2EFB2BFB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12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текст объявления в СМИ</dc:title>
  <dc:subject/>
  <dc:creator>1</dc:creator>
  <cp:keywords/>
  <cp:revision>6</cp:revision>
  <dcterms:created xsi:type="dcterms:W3CDTF">2026-03-26T12:32:00Z</dcterms:created>
  <dcterms:modified xsi:type="dcterms:W3CDTF">2026-03-30T03:11:32Z</dcterms:modified>
</cp:coreProperties>
</file>