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Pr="00106820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372F3F" w:rsidRPr="00106820" w:rsidRDefault="006E3249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«Контроль, за законностью и  результативностью использования средств дорожного фонда, а также  средств получаемых местным бюджетом  из  иных бюджетов бюджетной системы РФ  направленных на ремонт (проектирование, строительство (реконструкцию)) автомобильных дорог местного значения в границах Юргинского муниципального округа и обеспечение безопасности дорожного движения на них»   </w:t>
      </w:r>
    </w:p>
    <w:p w:rsidR="006E3249" w:rsidRPr="00106820" w:rsidRDefault="006E3249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Default="00372F3F" w:rsidP="00A646FA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Основание для проведения контрольного мероприятия:</w:t>
      </w:r>
      <w:r w:rsidR="006E3249"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п.3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A646FA" w:rsidRPr="00106820" w:rsidRDefault="00A646FA" w:rsidP="00A646FA">
      <w:pPr>
        <w:pStyle w:val="a5"/>
        <w:spacing w:afterLines="200" w:after="48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6E3249" w:rsidRDefault="00372F3F" w:rsidP="00A646FA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</w:t>
      </w:r>
      <w:r w:rsidR="006E3249"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>законность предоставления и использования средств дорожного фонда, а также  средств получаемых местным бюджетом  из  иных бюджетов бюджетной системы РФ  направленных на ремонт (проектирование, строительство (реконструкцию)) автомобильных дорог местного значения в границах Юргинского муниципального округа и обеспечение безопасности дорожного движения на них.</w:t>
      </w:r>
    </w:p>
    <w:p w:rsidR="00A646FA" w:rsidRPr="00A646FA" w:rsidRDefault="00A646FA" w:rsidP="00A646FA">
      <w:pPr>
        <w:pStyle w:val="a5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6E3249" w:rsidRDefault="00372F3F" w:rsidP="00A646FA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kern w:val="1"/>
          <w:lang w:eastAsia="ar-SA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proofErr w:type="gram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Управление по обеспечению жизнедеятельности и строительству администрации Юргинского муниципального округа (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УОЖиС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Юргинского муниципального округа),  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Арлюкское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территориальное управление Юргинского муниципального округа, 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Зеледеевское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территориальное управление Юргинского муниципального округа, Лебяжье-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Асановское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территориальное управление Юргинского муниципального округа, Мальцевское территориальное управление Юргинского муниципального округа, 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Новоромановское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территориальное управление Юргинского муниципального округа, 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Попереченское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территориальное управление Юргинского муниципального округа, 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Проскоковское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территориальное управление Юргинского муниципального округа, </w:t>
      </w:r>
      <w:proofErr w:type="spellStart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>Тальское</w:t>
      </w:r>
      <w:proofErr w:type="spell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территориальное управление Юргинского</w:t>
      </w:r>
      <w:proofErr w:type="gramEnd"/>
      <w:r w:rsidR="006E3249" w:rsidRPr="00106820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муниципального округа, Юргинское территориальное управление Юргинского муниципального округа.</w:t>
      </w:r>
    </w:p>
    <w:p w:rsidR="00A646FA" w:rsidRPr="00A646FA" w:rsidRDefault="00A646FA" w:rsidP="00A646FA">
      <w:pPr>
        <w:pStyle w:val="a5"/>
        <w:rPr>
          <w:rFonts w:ascii="Times New Roman" w:eastAsia="Arial Unicode MS" w:hAnsi="Times New Roman" w:cs="Times New Roman"/>
          <w:bCs/>
          <w:kern w:val="1"/>
          <w:lang w:eastAsia="ar-SA"/>
        </w:rPr>
      </w:pPr>
    </w:p>
    <w:p w:rsidR="00372F3F" w:rsidRDefault="00372F3F" w:rsidP="00A646FA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>: 2020 год.</w:t>
      </w:r>
    </w:p>
    <w:p w:rsidR="00A646FA" w:rsidRPr="00A646FA" w:rsidRDefault="00A646FA" w:rsidP="00A646FA">
      <w:pPr>
        <w:pStyle w:val="a5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372F3F" w:rsidRPr="00A646FA" w:rsidRDefault="00372F3F" w:rsidP="00A646FA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6E3249" w:rsidRPr="00106820">
        <w:rPr>
          <w:rFonts w:ascii="Times New Roman" w:eastAsia="Calibri" w:hAnsi="Times New Roman" w:cs="Times New Roman"/>
          <w:bCs/>
          <w:kern w:val="1"/>
          <w:lang w:eastAsia="ar-SA"/>
        </w:rPr>
        <w:t>26.04.2021-19.05.2021</w:t>
      </w:r>
    </w:p>
    <w:p w:rsidR="00A646FA" w:rsidRPr="00A646FA" w:rsidRDefault="00A646FA" w:rsidP="00A646FA">
      <w:pPr>
        <w:pStyle w:val="a5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Pr="00106820" w:rsidRDefault="00946587" w:rsidP="00A646F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</w:p>
    <w:p w:rsidR="006E3249" w:rsidRDefault="006E3249" w:rsidP="00DD0C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>Цель 1:  оценить законность, эффективность и результативность использования бюджетных средств выделенных в 2020 году на   ремонт (проектирование, строительство (реконструкцию)) автомобильных дорог местного значения в границах Юргинского муниципального округа и обеспечение безопасности дорожного движения на них.</w:t>
      </w:r>
    </w:p>
    <w:p w:rsidR="00DD0C1D" w:rsidRPr="00DD0C1D" w:rsidRDefault="00DD0C1D" w:rsidP="00DD0C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Default="00946587" w:rsidP="00A646FA">
      <w:pPr>
        <w:pStyle w:val="a5"/>
        <w:numPr>
          <w:ilvl w:val="0"/>
          <w:numId w:val="2"/>
        </w:numPr>
        <w:spacing w:afterLines="200" w:after="480" w:line="240" w:lineRule="auto"/>
        <w:ind w:left="0" w:firstLine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106820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F404AD" w:rsidRPr="00106820" w:rsidRDefault="00F404AD" w:rsidP="00F404AD">
      <w:pPr>
        <w:pStyle w:val="a5"/>
        <w:spacing w:afterLines="200" w:after="480" w:line="240" w:lineRule="auto"/>
        <w:ind w:left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</w:p>
    <w:p w:rsidR="00F404AD" w:rsidRPr="00F404AD" w:rsidRDefault="00F404AD" w:rsidP="00F404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Направлено  </w:t>
      </w:r>
      <w:r w:rsidRPr="00F404AD">
        <w:rPr>
          <w:rFonts w:ascii="Times New Roman" w:hAnsi="Times New Roman" w:cs="Times New Roman"/>
        </w:rPr>
        <w:t xml:space="preserve">представление  № 3   от 19.05.2021 – Заместителю главы </w:t>
      </w:r>
      <w:proofErr w:type="gramStart"/>
      <w:r w:rsidRPr="00F404AD">
        <w:rPr>
          <w:rFonts w:ascii="Times New Roman" w:hAnsi="Times New Roman" w:cs="Times New Roman"/>
        </w:rPr>
        <w:t>-н</w:t>
      </w:r>
      <w:proofErr w:type="gramEnd"/>
      <w:r w:rsidRPr="00F404AD">
        <w:rPr>
          <w:rFonts w:ascii="Times New Roman" w:hAnsi="Times New Roman" w:cs="Times New Roman"/>
        </w:rPr>
        <w:t>ачальнику Управления по обеспечению жизнедеятельности и строительству администрации Юргинского муниципального округа  С.В. Борисову, принять меры по устранению нарушений в срок до 19.06.2021.</w:t>
      </w:r>
    </w:p>
    <w:p w:rsidR="00F404AD" w:rsidRPr="00F404AD" w:rsidRDefault="00F404AD" w:rsidP="00F404A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1119"/>
        <w:gridCol w:w="1540"/>
        <w:gridCol w:w="2429"/>
        <w:gridCol w:w="3701"/>
        <w:gridCol w:w="3103"/>
      </w:tblGrid>
      <w:tr w:rsidR="00F404AD" w:rsidRPr="00F404AD" w:rsidTr="00424F40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4AD" w:rsidRPr="00F404AD" w:rsidRDefault="00F404AD" w:rsidP="00F40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404AD" w:rsidRPr="00F404AD" w:rsidRDefault="00F404AD" w:rsidP="00F40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>Реализованы предложения Ревизионной комиссии</w:t>
            </w:r>
          </w:p>
        </w:tc>
      </w:tr>
      <w:tr w:rsidR="00F404AD" w:rsidRPr="00F404AD" w:rsidTr="00424F40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4AD" w:rsidRPr="00F404AD" w:rsidRDefault="00F404AD" w:rsidP="00F40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404AD">
              <w:rPr>
                <w:rFonts w:ascii="Times New Roman" w:hAnsi="Times New Roman" w:cs="Times New Roman"/>
              </w:rPr>
              <w:t>п</w:t>
            </w:r>
            <w:proofErr w:type="gramEnd"/>
            <w:r w:rsidRPr="00F404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4AD" w:rsidRPr="00F404AD" w:rsidRDefault="00F404AD" w:rsidP="00F404AD">
            <w:pPr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>корреспондирующая норма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4AD" w:rsidRPr="00F404AD" w:rsidRDefault="00F404AD" w:rsidP="00F404AD">
            <w:pPr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4AD" w:rsidRPr="00F404AD" w:rsidRDefault="00F404AD" w:rsidP="00F404AD">
            <w:pPr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>стоимостная оценка выявленных нарушений, тыс. рублей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4AD" w:rsidRPr="00F404AD" w:rsidRDefault="00F404AD" w:rsidP="00F404AD">
            <w:pPr>
              <w:jc w:val="center"/>
              <w:rPr>
                <w:rFonts w:ascii="Times New Roman" w:hAnsi="Times New Roman" w:cs="Times New Roman"/>
              </w:rPr>
            </w:pPr>
          </w:p>
          <w:p w:rsidR="00F404AD" w:rsidRPr="00F404AD" w:rsidRDefault="00F404AD" w:rsidP="00F404AD">
            <w:pPr>
              <w:jc w:val="center"/>
              <w:rPr>
                <w:rFonts w:ascii="Times New Roman" w:hAnsi="Times New Roman" w:cs="Times New Roman"/>
              </w:rPr>
            </w:pPr>
          </w:p>
          <w:p w:rsidR="00F404AD" w:rsidRPr="00F404AD" w:rsidRDefault="00F404AD" w:rsidP="00F404AD">
            <w:pPr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04AD" w:rsidRPr="00F404AD" w:rsidRDefault="00F404AD" w:rsidP="00F40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4AD" w:rsidRPr="00F404AD" w:rsidRDefault="00F404AD" w:rsidP="00F404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404AD">
              <w:rPr>
                <w:rFonts w:ascii="Times New Roman" w:hAnsi="Times New Roman" w:cs="Times New Roman"/>
              </w:rPr>
              <w:t>комментарий реализации</w:t>
            </w:r>
          </w:p>
        </w:tc>
      </w:tr>
      <w:tr w:rsidR="00F404AD" w:rsidRPr="00F404AD" w:rsidTr="00424F40">
        <w:trPr>
          <w:trHeight w:hRule="exact" w:val="50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04AD" w:rsidRPr="00F404AD" w:rsidRDefault="00F404AD" w:rsidP="00F404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04AD" w:rsidRPr="00F404AD" w:rsidRDefault="00F404AD" w:rsidP="00424F4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179 Бюджетного кодекса РФ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04AD" w:rsidRPr="00F404AD" w:rsidRDefault="00F404AD" w:rsidP="00424F4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04AD" w:rsidRPr="00F404AD" w:rsidRDefault="00F404AD" w:rsidP="00424F4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5943,6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04AD" w:rsidRPr="00F404AD" w:rsidRDefault="00F404AD" w:rsidP="00424F40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Ресурсное обеспечение муниципальной программы не приведено в соответствие с Решением  СНД ЮМО о бюджете (п.2); для подпрограммы "Дорожное хозяйство" муниципальной программы "Жилищно-коммунальный и дорожный </w:t>
            </w:r>
            <w:proofErr w:type="spellStart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</w:t>
            </w:r>
            <w:proofErr w:type="gramStart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,э</w:t>
            </w:r>
            <w:proofErr w:type="gramEnd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нергосбережение</w:t>
            </w:r>
            <w:proofErr w:type="spellEnd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повышение </w:t>
            </w:r>
            <w:proofErr w:type="spellStart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ЮМО" не </w:t>
            </w:r>
            <w:proofErr w:type="spellStart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установленые</w:t>
            </w:r>
            <w:proofErr w:type="spellEnd"/>
            <w:r w:rsidRPr="00F404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значение целевых показателей (п.3), что делает невозможным определение оценки эффективности реализации указанной подпрограммы.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404AD" w:rsidRPr="00F404AD" w:rsidRDefault="00F404AD" w:rsidP="00424F40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анализ соответствия действующей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округа», положениям  Постановления  администрации Юргинского муниципального округа от 22.07.2020 № 22-МНА «Об утверждении Положения о муниципальных программах Юргинского  муниципального округа». </w:t>
            </w:r>
            <w:proofErr w:type="gramStart"/>
            <w:r w:rsidRPr="00F404AD">
              <w:rPr>
                <w:rFonts w:ascii="Times New Roman" w:hAnsi="Times New Roman" w:cs="Times New Roman"/>
                <w:sz w:val="20"/>
                <w:szCs w:val="20"/>
              </w:rPr>
              <w:t>В случае выявления нарушений, аналоги</w:t>
            </w:r>
            <w:bookmarkStart w:id="0" w:name="_GoBack"/>
            <w:bookmarkEnd w:id="0"/>
            <w:r w:rsidRPr="00F404AD">
              <w:rPr>
                <w:rFonts w:ascii="Times New Roman" w:hAnsi="Times New Roman" w:cs="Times New Roman"/>
                <w:sz w:val="20"/>
                <w:szCs w:val="20"/>
              </w:rPr>
              <w:t>чных установленным в ходе проверки, внести соответствующие изменения в действующую Муниципальную программу.</w:t>
            </w:r>
            <w:proofErr w:type="gram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4AD" w:rsidRPr="00F404AD" w:rsidRDefault="00F404AD" w:rsidP="00424F4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Юргинского муниципального округа от 03.09.2021 № 104-МНА</w:t>
            </w:r>
            <w:r w:rsidRPr="00F404AD">
              <w:t xml:space="preserve"> «</w:t>
            </w:r>
            <w:r w:rsidRPr="00F404AD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и дополнений в постановление администрации Юргинского муниципального округа от 30.10.2020 № 40-МНА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</w:t>
            </w:r>
          </w:p>
          <w:p w:rsidR="00F404AD" w:rsidRPr="00F404AD" w:rsidRDefault="00F404AD" w:rsidP="00424F4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4AD">
              <w:rPr>
                <w:rFonts w:ascii="Times New Roman" w:hAnsi="Times New Roman" w:cs="Times New Roman"/>
                <w:sz w:val="20"/>
                <w:szCs w:val="20"/>
              </w:rPr>
              <w:t>на 2021 год и на плановый период 2022 и 2023 годов»</w:t>
            </w:r>
          </w:p>
        </w:tc>
      </w:tr>
    </w:tbl>
    <w:p w:rsidR="00946587" w:rsidRDefault="00946587" w:rsidP="00A646FA">
      <w:pPr>
        <w:spacing w:afterLines="200" w:after="48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946587" w:rsidRDefault="00946587" w:rsidP="00946587">
      <w:pPr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sectPr w:rsidR="00946587" w:rsidSect="00F404AD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106820"/>
    <w:rsid w:val="00154B32"/>
    <w:rsid w:val="001760F4"/>
    <w:rsid w:val="00372F3F"/>
    <w:rsid w:val="0038741F"/>
    <w:rsid w:val="003C1711"/>
    <w:rsid w:val="003F123D"/>
    <w:rsid w:val="00424F40"/>
    <w:rsid w:val="00577B16"/>
    <w:rsid w:val="006013A9"/>
    <w:rsid w:val="00676FB0"/>
    <w:rsid w:val="00683371"/>
    <w:rsid w:val="006E3249"/>
    <w:rsid w:val="00701D46"/>
    <w:rsid w:val="007E3583"/>
    <w:rsid w:val="007F4F79"/>
    <w:rsid w:val="008539B0"/>
    <w:rsid w:val="00873A50"/>
    <w:rsid w:val="00946587"/>
    <w:rsid w:val="009A2A15"/>
    <w:rsid w:val="00A646FA"/>
    <w:rsid w:val="00B071A1"/>
    <w:rsid w:val="00BC3536"/>
    <w:rsid w:val="00CD2F5B"/>
    <w:rsid w:val="00D27E0F"/>
    <w:rsid w:val="00D42954"/>
    <w:rsid w:val="00DC447F"/>
    <w:rsid w:val="00DD0C1D"/>
    <w:rsid w:val="00F404AD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12CD-FBAA-4D0B-A714-80B7B769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19</cp:revision>
  <dcterms:created xsi:type="dcterms:W3CDTF">2021-01-15T08:01:00Z</dcterms:created>
  <dcterms:modified xsi:type="dcterms:W3CDTF">2022-02-10T09:18:00Z</dcterms:modified>
</cp:coreProperties>
</file>